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4B" w:rsidRPr="00693D10" w:rsidRDefault="007B3058">
      <w:pPr>
        <w:pStyle w:val="StyleTitleLeft005cm"/>
        <w:rPr>
          <w:rFonts w:ascii="Times New Roman" w:hAnsi="Times New Roman"/>
        </w:rPr>
      </w:pPr>
      <w:r w:rsidRPr="00693D10">
        <w:rPr>
          <w:rFonts w:ascii="Times New Roman" w:hAnsi="Times New Roman"/>
        </w:rPr>
        <w:t>Convolution of MACD + RSI based on Maxwell-Boltzmann distribution to create the “Raffasya v.1.0” indicators during Brexit referendum 2019</w:t>
      </w:r>
    </w:p>
    <w:p w:rsidR="00947262" w:rsidRPr="00693D10" w:rsidRDefault="00947262" w:rsidP="00947262">
      <w:pPr>
        <w:pStyle w:val="Abstract"/>
        <w:spacing w:after="0"/>
        <w:rPr>
          <w:rFonts w:ascii="Times New Roman" w:hAnsi="Times New Roman"/>
          <w:b/>
        </w:rPr>
      </w:pPr>
      <w:bookmarkStart w:id="0" w:name="_GoBack"/>
      <w:bookmarkEnd w:id="0"/>
    </w:p>
    <w:p w:rsidR="00EA3F4B" w:rsidRPr="00693D10" w:rsidRDefault="00EA3F4B">
      <w:pPr>
        <w:pStyle w:val="Abstract"/>
        <w:spacing w:after="567"/>
        <w:rPr>
          <w:rFonts w:ascii="Times New Roman" w:hAnsi="Times New Roman"/>
        </w:rPr>
      </w:pPr>
      <w:r w:rsidRPr="00693D10">
        <w:rPr>
          <w:rFonts w:ascii="Times New Roman" w:hAnsi="Times New Roman"/>
          <w:b/>
        </w:rPr>
        <w:t xml:space="preserve">Abstract. </w:t>
      </w:r>
      <w:r w:rsidR="00C305B6" w:rsidRPr="00693D10">
        <w:rPr>
          <w:rFonts w:ascii="Times New Roman" w:hAnsi="Times New Roman"/>
        </w:rPr>
        <w:t xml:space="preserve">On March 2019, Brexit vote to be continued and after the vote, there was a decrease in the correlation between the directly involved currencies GBP and EUR. Classical technical analysis indicators will be difficult to determine the direction of high volatility processing trends. This research creates a technical analysis indicator “Raffasya v.1.0” based on statistical mechanics  with Maxwell-Boltzmann distribution for financial investment with several stages: (1) convolution of OHLC GBP currency’s chart substituted to MACD and RSI indicators; </w:t>
      </w:r>
      <w:r w:rsidR="00D334A9">
        <w:rPr>
          <w:rFonts w:ascii="Times New Roman" w:hAnsi="Times New Roman"/>
        </w:rPr>
        <w:t xml:space="preserve">            </w:t>
      </w:r>
      <w:r w:rsidR="00C305B6" w:rsidRPr="00693D10">
        <w:rPr>
          <w:rFonts w:ascii="Times New Roman" w:hAnsi="Times New Roman"/>
        </w:rPr>
        <w:t>(2) convolution of MACD (histogram and slow line), RSI, OHLC, and volume of GBP currency’s candle into the Maxwell-Boltzmann distribution; (3) created the algorithm of Maxwell-Boltzmann convolution with programming script as the MQL4 and MQL5 for “Raffasya v.1.0” indicators using MetaQuote software; (4) test of net income and relative drawdown of the “Raffasya v.1.0” indicators on GBP currency before and after UK Parliament vote on Brexit deal March 2019 using MetaTrader 4 and MetaTrader 5. The spectrum of “Raffasya v.1.0” indicators is a new technical analysis developed using statistical mechanics based on Maxwell-Boltzmann distribution. This indicator can provide high accuracy in investment decisions and quickly identify MACD + RSI’s anomaly. So that net income obtained is higher with low risk.</w:t>
      </w:r>
    </w:p>
    <w:p w:rsidR="00EA3F4B" w:rsidRPr="00693D10" w:rsidRDefault="00EA3F4B" w:rsidP="007B3058">
      <w:pPr>
        <w:pStyle w:val="section"/>
        <w:rPr>
          <w:rFonts w:ascii="Times New Roman" w:hAnsi="Times New Roman"/>
        </w:rPr>
      </w:pPr>
      <w:r w:rsidRPr="00693D10">
        <w:rPr>
          <w:rFonts w:ascii="Times New Roman" w:hAnsi="Times New Roman"/>
        </w:rPr>
        <w:t>Introduction</w:t>
      </w:r>
    </w:p>
    <w:p w:rsidR="00983FC7" w:rsidRPr="00693D10" w:rsidRDefault="001811EA" w:rsidP="00983FC7">
      <w:pPr>
        <w:pStyle w:val="BodyChar"/>
        <w:rPr>
          <w:rFonts w:ascii="Times New Roman" w:hAnsi="Times New Roman"/>
        </w:rPr>
      </w:pPr>
      <w:r>
        <w:rPr>
          <w:rFonts w:ascii="Times New Roman" w:hAnsi="Times New Roman"/>
        </w:rPr>
        <w:t>The B</w:t>
      </w:r>
      <w:r w:rsidR="004F42A3" w:rsidRPr="00693D10">
        <w:rPr>
          <w:rFonts w:ascii="Times New Roman" w:hAnsi="Times New Roman"/>
        </w:rPr>
        <w:t>rexit referendum, conclude that most European financial markets displayed negative correlations after the referendum</w:t>
      </w:r>
      <w:r w:rsidR="004D088B" w:rsidRPr="00693D10">
        <w:rPr>
          <w:rFonts w:ascii="Times New Roman" w:hAnsi="Times New Roman"/>
        </w:rPr>
        <w:t xml:space="preserve"> [1]</w:t>
      </w:r>
      <w:r w:rsidR="004F42A3" w:rsidRPr="00693D10">
        <w:rPr>
          <w:rFonts w:ascii="Times New Roman" w:hAnsi="Times New Roman"/>
        </w:rPr>
        <w:t xml:space="preserve">. </w:t>
      </w:r>
      <w:r w:rsidR="002D5600" w:rsidRPr="00693D10">
        <w:rPr>
          <w:rFonts w:ascii="Times New Roman" w:hAnsi="Times New Roman"/>
        </w:rPr>
        <w:t>On the 23</w:t>
      </w:r>
      <w:r w:rsidR="002D5600" w:rsidRPr="00693D10">
        <w:rPr>
          <w:rFonts w:ascii="Times New Roman" w:hAnsi="Times New Roman"/>
          <w:vertAlign w:val="superscript"/>
        </w:rPr>
        <w:t>rd</w:t>
      </w:r>
      <w:r w:rsidR="002D5600" w:rsidRPr="00693D10">
        <w:rPr>
          <w:rFonts w:ascii="Times New Roman" w:hAnsi="Times New Roman"/>
        </w:rPr>
        <w:t xml:space="preserve"> of June 2016, when UK citizens decided to leave the European Union (EU), in the referendum known as Brexit, financial markets reacted immediately.</w:t>
      </w:r>
      <w:r w:rsidR="00D81ACB" w:rsidRPr="00693D10">
        <w:rPr>
          <w:rFonts w:ascii="Times New Roman" w:hAnsi="Times New Roman"/>
        </w:rPr>
        <w:t xml:space="preserve"> The future of the UK economy has remained uncertain since then, with many concerns about the evolution of the UK´s macroeconomic variables</w:t>
      </w:r>
      <w:r w:rsidR="000A79B2" w:rsidRPr="00693D10">
        <w:rPr>
          <w:rFonts w:ascii="Times New Roman" w:hAnsi="Times New Roman"/>
        </w:rPr>
        <w:t xml:space="preserve"> [2]</w:t>
      </w:r>
      <w:r w:rsidR="00D81ACB" w:rsidRPr="00693D10">
        <w:rPr>
          <w:rFonts w:ascii="Times New Roman" w:hAnsi="Times New Roman"/>
        </w:rPr>
        <w:t>.</w:t>
      </w:r>
      <w:r w:rsidR="005F0877" w:rsidRPr="00693D10">
        <w:rPr>
          <w:rFonts w:ascii="Times New Roman" w:hAnsi="Times New Roman"/>
        </w:rPr>
        <w:t xml:space="preserve"> </w:t>
      </w:r>
      <w:r w:rsidR="00810D30" w:rsidRPr="00693D10">
        <w:rPr>
          <w:rFonts w:ascii="Times New Roman" w:hAnsi="Times New Roman"/>
        </w:rPr>
        <w:t xml:space="preserve">On the March 2019, Brexit vote </w:t>
      </w:r>
      <w:r w:rsidR="004640CB" w:rsidRPr="00693D10">
        <w:rPr>
          <w:rFonts w:ascii="Times New Roman" w:hAnsi="Times New Roman"/>
        </w:rPr>
        <w:t>to be continued</w:t>
      </w:r>
      <w:r w:rsidR="00810D30" w:rsidRPr="00693D10">
        <w:rPr>
          <w:rFonts w:ascii="Times New Roman" w:hAnsi="Times New Roman"/>
        </w:rPr>
        <w:t xml:space="preserve"> [3] </w:t>
      </w:r>
      <w:r w:rsidR="004640CB" w:rsidRPr="00693D10">
        <w:rPr>
          <w:rFonts w:ascii="Times New Roman" w:hAnsi="Times New Roman"/>
        </w:rPr>
        <w:t xml:space="preserve">and </w:t>
      </w:r>
      <w:r w:rsidR="00385F2F" w:rsidRPr="00693D10">
        <w:rPr>
          <w:rFonts w:ascii="Times New Roman" w:hAnsi="Times New Roman"/>
        </w:rPr>
        <w:t>a</w:t>
      </w:r>
      <w:r w:rsidR="001539D6" w:rsidRPr="00693D10">
        <w:rPr>
          <w:rFonts w:ascii="Times New Roman" w:hAnsi="Times New Roman"/>
        </w:rPr>
        <w:t>fter the vote, there was a decrease in the correlation between the directly involved currencies (i.e. GBP and EUR) and the safe-haven currencies (i.e. CHF, JPY, and gold) while there was an increase in the correlation a</w:t>
      </w:r>
      <w:r w:rsidR="00493133" w:rsidRPr="00693D10">
        <w:rPr>
          <w:rFonts w:ascii="Times New Roman" w:hAnsi="Times New Roman"/>
        </w:rPr>
        <w:t>mong the safe</w:t>
      </w:r>
      <w:r>
        <w:rPr>
          <w:rFonts w:ascii="Times New Roman" w:hAnsi="Times New Roman"/>
        </w:rPr>
        <w:t>-</w:t>
      </w:r>
      <w:r w:rsidR="00493133" w:rsidRPr="00693D10">
        <w:rPr>
          <w:rFonts w:ascii="Times New Roman" w:hAnsi="Times New Roman"/>
        </w:rPr>
        <w:t xml:space="preserve">haven currencies. </w:t>
      </w:r>
    </w:p>
    <w:p w:rsidR="00CC770C" w:rsidRPr="00693D10" w:rsidRDefault="00983FC7" w:rsidP="00CC770C">
      <w:pPr>
        <w:pStyle w:val="BodyChar"/>
        <w:rPr>
          <w:rFonts w:ascii="Times New Roman" w:hAnsi="Times New Roman"/>
        </w:rPr>
      </w:pPr>
      <w:r w:rsidRPr="00693D10">
        <w:rPr>
          <w:rFonts w:ascii="Times New Roman" w:hAnsi="Times New Roman"/>
        </w:rPr>
        <w:tab/>
        <w:t>Macroeconomic policies frequently have a significant impact on the overall economic performanc</w:t>
      </w:r>
      <w:r w:rsidR="00BD7C72" w:rsidRPr="00693D10">
        <w:rPr>
          <w:rFonts w:ascii="Times New Roman" w:hAnsi="Times New Roman"/>
        </w:rPr>
        <w:t xml:space="preserve">e of an economy </w:t>
      </w:r>
      <w:r w:rsidRPr="00693D10">
        <w:rPr>
          <w:rFonts w:ascii="Times New Roman" w:hAnsi="Times New Roman"/>
        </w:rPr>
        <w:t>[4].  Signaling theory of exchange determination posits that central bank intervention operations signals changes in the future monetary policy and affects the behavior of other market participants</w:t>
      </w:r>
      <w:r w:rsidR="00E94D00" w:rsidRPr="00693D10">
        <w:rPr>
          <w:rFonts w:ascii="Times New Roman" w:hAnsi="Times New Roman"/>
        </w:rPr>
        <w:t xml:space="preserve"> </w:t>
      </w:r>
      <w:r w:rsidR="00A95390" w:rsidRPr="00693D10">
        <w:rPr>
          <w:rFonts w:ascii="Times New Roman" w:hAnsi="Times New Roman"/>
        </w:rPr>
        <w:t>[</w:t>
      </w:r>
      <w:r w:rsidR="009F4366" w:rsidRPr="00693D10">
        <w:rPr>
          <w:rFonts w:ascii="Times New Roman" w:hAnsi="Times New Roman"/>
        </w:rPr>
        <w:t>5</w:t>
      </w:r>
      <w:r w:rsidR="00BD7C72" w:rsidRPr="00693D10">
        <w:rPr>
          <w:rFonts w:ascii="Times New Roman" w:hAnsi="Times New Roman"/>
        </w:rPr>
        <w:t>]</w:t>
      </w:r>
      <w:r w:rsidR="00A95390" w:rsidRPr="00693D10">
        <w:rPr>
          <w:rFonts w:ascii="Times New Roman" w:hAnsi="Times New Roman"/>
        </w:rPr>
        <w:t>.</w:t>
      </w:r>
      <w:r w:rsidR="002A3F1E" w:rsidRPr="00693D10">
        <w:rPr>
          <w:rFonts w:ascii="Times New Roman" w:hAnsi="Times New Roman"/>
        </w:rPr>
        <w:t xml:space="preserve"> Furthermore, s</w:t>
      </w:r>
      <w:r w:rsidR="00D87904" w:rsidRPr="00693D10">
        <w:rPr>
          <w:rFonts w:ascii="Times New Roman" w:hAnsi="Times New Roman"/>
          <w:spacing w:val="4"/>
        </w:rPr>
        <w:t>tudying mathematical models of a large number of interacting economic agents, econophysics has much common ground with agent-based modeling and simulation. Historically, statistical mechanics was developed in the second half of the nineteenth century by James Clerk Maxwell, Ludwig Boltzmann, and Josiah Willard Gibbs. These physicists believed in the existence of atoms and developed mathematical methods for describing their statistical properties. There are interesting connections between the development of statistical physics and statistics of social phenomena [</w:t>
      </w:r>
      <w:r w:rsidR="00BF124B" w:rsidRPr="00693D10">
        <w:rPr>
          <w:rFonts w:ascii="Times New Roman" w:hAnsi="Times New Roman"/>
          <w:spacing w:val="4"/>
        </w:rPr>
        <w:t>6-10</w:t>
      </w:r>
      <w:r w:rsidR="00D87904" w:rsidRPr="00693D10">
        <w:rPr>
          <w:rFonts w:ascii="Times New Roman" w:hAnsi="Times New Roman"/>
          <w:spacing w:val="4"/>
        </w:rPr>
        <w:t>].</w:t>
      </w:r>
    </w:p>
    <w:p w:rsidR="0070065C" w:rsidRPr="00693D10" w:rsidRDefault="00CC770C" w:rsidP="0070065C">
      <w:pPr>
        <w:pStyle w:val="BodyChar"/>
        <w:rPr>
          <w:rFonts w:ascii="Times New Roman" w:hAnsi="Times New Roman"/>
        </w:rPr>
      </w:pPr>
      <w:r w:rsidRPr="00693D10">
        <w:rPr>
          <w:rFonts w:ascii="Times New Roman" w:hAnsi="Times New Roman"/>
          <w:spacing w:val="4"/>
        </w:rPr>
        <w:tab/>
      </w:r>
      <w:r w:rsidR="0070065C" w:rsidRPr="00693D10">
        <w:rPr>
          <w:rFonts w:ascii="Times New Roman" w:hAnsi="Times New Roman"/>
          <w:spacing w:val="4"/>
        </w:rPr>
        <w:t xml:space="preserve">For example </w:t>
      </w:r>
      <w:r w:rsidR="00B969C1" w:rsidRPr="00693D10">
        <w:rPr>
          <w:rFonts w:ascii="Times New Roman" w:hAnsi="Times New Roman"/>
          <w:spacing w:val="4"/>
        </w:rPr>
        <w:t>[</w:t>
      </w:r>
      <w:r w:rsidR="00D2580F" w:rsidRPr="00693D10">
        <w:rPr>
          <w:rFonts w:ascii="Times New Roman" w:hAnsi="Times New Roman"/>
          <w:spacing w:val="4"/>
        </w:rPr>
        <w:t>7][</w:t>
      </w:r>
      <w:r w:rsidR="00B969C1" w:rsidRPr="00693D10">
        <w:rPr>
          <w:rFonts w:ascii="Times New Roman" w:hAnsi="Times New Roman"/>
          <w:spacing w:val="4"/>
        </w:rPr>
        <w:t>9</w:t>
      </w:r>
      <w:r w:rsidR="00D2580F" w:rsidRPr="00693D10">
        <w:rPr>
          <w:rFonts w:ascii="Times New Roman" w:hAnsi="Times New Roman"/>
          <w:spacing w:val="4"/>
        </w:rPr>
        <w:t>][</w:t>
      </w:r>
      <w:r w:rsidR="005F23AF" w:rsidRPr="00693D10">
        <w:rPr>
          <w:rFonts w:ascii="Times New Roman" w:hAnsi="Times New Roman"/>
          <w:spacing w:val="4"/>
        </w:rPr>
        <w:t>10</w:t>
      </w:r>
      <w:r w:rsidR="00B969C1" w:rsidRPr="00693D10">
        <w:rPr>
          <w:rFonts w:ascii="Times New Roman" w:hAnsi="Times New Roman"/>
          <w:spacing w:val="4"/>
        </w:rPr>
        <w:t xml:space="preserve">] </w:t>
      </w:r>
      <w:r w:rsidR="0070065C" w:rsidRPr="00693D10">
        <w:rPr>
          <w:rFonts w:ascii="Times New Roman" w:hAnsi="Times New Roman"/>
          <w:spacing w:val="4"/>
        </w:rPr>
        <w:t>t</w:t>
      </w:r>
      <w:r w:rsidRPr="00693D10">
        <w:rPr>
          <w:rFonts w:ascii="Times New Roman" w:hAnsi="Times New Roman"/>
        </w:rPr>
        <w:t>he fundamental law</w:t>
      </w:r>
      <w:r w:rsidRPr="00693D10">
        <w:rPr>
          <w:rFonts w:ascii="Times New Roman" w:hAnsi="Times New Roman"/>
          <w:spacing w:val="4"/>
        </w:rPr>
        <w:t xml:space="preserve"> </w:t>
      </w:r>
      <w:r w:rsidRPr="00693D10">
        <w:rPr>
          <w:rFonts w:ascii="Times New Roman" w:hAnsi="Times New Roman"/>
        </w:rPr>
        <w:t>of equilibrium statistical mechanics is the Boltzmann-Gibbs law, which states</w:t>
      </w:r>
      <w:r w:rsidRPr="00693D10">
        <w:rPr>
          <w:rFonts w:ascii="Times New Roman" w:hAnsi="Times New Roman"/>
          <w:spacing w:val="4"/>
        </w:rPr>
        <w:t xml:space="preserve"> </w:t>
      </w:r>
      <w:r w:rsidRPr="00693D10">
        <w:rPr>
          <w:rFonts w:ascii="Times New Roman" w:hAnsi="Times New Roman"/>
        </w:rPr>
        <w:t xml:space="preserve">that the probability distribution of energy </w:t>
      </w:r>
      <w:r w:rsidRPr="00693D10">
        <w:rPr>
          <w:rFonts w:ascii="Times New Roman" w:hAnsi="Times New Roman"/>
          <w:i/>
        </w:rPr>
        <w:t>ε</w:t>
      </w:r>
      <w:r w:rsidRPr="00693D10">
        <w:rPr>
          <w:rFonts w:ascii="Times New Roman" w:hAnsi="Times New Roman"/>
        </w:rPr>
        <w:t xml:space="preserve"> is </w:t>
      </w:r>
      <w:r w:rsidRPr="00693D10">
        <w:rPr>
          <w:rFonts w:ascii="Times New Roman" w:hAnsi="Times New Roman"/>
          <w:i/>
        </w:rPr>
        <w:t>P(ε) = Ce</w:t>
      </w:r>
      <w:r w:rsidRPr="00693D10">
        <w:rPr>
          <w:rFonts w:ascii="Times New Roman" w:hAnsi="Times New Roman"/>
          <w:i/>
          <w:vertAlign w:val="superscript"/>
        </w:rPr>
        <w:t>−ε</w:t>
      </w:r>
      <w:r w:rsidR="0070065C" w:rsidRPr="00693D10">
        <w:rPr>
          <w:rFonts w:ascii="Times New Roman" w:hAnsi="Times New Roman"/>
          <w:i/>
          <w:vertAlign w:val="superscript"/>
        </w:rPr>
        <w:t>/T</w:t>
      </w:r>
      <w:r w:rsidRPr="00693D10">
        <w:rPr>
          <w:rFonts w:ascii="Times New Roman" w:hAnsi="Times New Roman"/>
        </w:rPr>
        <w:t xml:space="preserve">, where </w:t>
      </w:r>
      <w:r w:rsidRPr="00693D10">
        <w:rPr>
          <w:rFonts w:ascii="Times New Roman" w:hAnsi="Times New Roman"/>
          <w:i/>
        </w:rPr>
        <w:t>T</w:t>
      </w:r>
      <w:r w:rsidRPr="00693D10">
        <w:rPr>
          <w:rFonts w:ascii="Times New Roman" w:hAnsi="Times New Roman"/>
        </w:rPr>
        <w:t xml:space="preserve"> is the</w:t>
      </w:r>
      <w:r w:rsidRPr="00693D10">
        <w:rPr>
          <w:rFonts w:ascii="Times New Roman" w:hAnsi="Times New Roman"/>
          <w:spacing w:val="4"/>
        </w:rPr>
        <w:t xml:space="preserve"> </w:t>
      </w:r>
      <w:r w:rsidRPr="00693D10">
        <w:rPr>
          <w:rFonts w:ascii="Times New Roman" w:hAnsi="Times New Roman"/>
        </w:rPr>
        <w:t xml:space="preserve">temperature, and </w:t>
      </w:r>
      <w:r w:rsidRPr="00693D10">
        <w:rPr>
          <w:rFonts w:ascii="Times New Roman" w:hAnsi="Times New Roman"/>
          <w:i/>
        </w:rPr>
        <w:t>C</w:t>
      </w:r>
      <w:r w:rsidRPr="00693D10">
        <w:rPr>
          <w:rFonts w:ascii="Times New Roman" w:hAnsi="Times New Roman"/>
        </w:rPr>
        <w:t xml:space="preserve"> is a normalizing constant. </w:t>
      </w:r>
      <w:r w:rsidR="008C223A" w:rsidRPr="00693D10">
        <w:rPr>
          <w:rFonts w:ascii="Times New Roman" w:hAnsi="Times New Roman"/>
        </w:rPr>
        <w:t xml:space="preserve">The main ingredient that is essential for the </w:t>
      </w:r>
      <w:r w:rsidR="008C223A" w:rsidRPr="00693D10">
        <w:rPr>
          <w:rFonts w:ascii="Times New Roman" w:hAnsi="Times New Roman"/>
        </w:rPr>
        <w:lastRenderedPageBreak/>
        <w:t>textb</w:t>
      </w:r>
      <w:r w:rsidR="00E61140" w:rsidRPr="00693D10">
        <w:rPr>
          <w:rFonts w:ascii="Times New Roman" w:hAnsi="Times New Roman"/>
        </w:rPr>
        <w:t>ook derivation of the Boltzmann-</w:t>
      </w:r>
      <w:r w:rsidR="008C223A" w:rsidRPr="00693D10">
        <w:rPr>
          <w:rFonts w:ascii="Times New Roman" w:hAnsi="Times New Roman"/>
        </w:rPr>
        <w:t>Gibbs law is the conservation of energy.</w:t>
      </w:r>
      <w:r w:rsidR="0070065C" w:rsidRPr="00693D10">
        <w:rPr>
          <w:rFonts w:ascii="Times New Roman" w:hAnsi="Times New Roman"/>
        </w:rPr>
        <w:t xml:space="preserve"> The closed economic system, the total amount of money is conserved. Thus the equilibrium probability distribution of money </w:t>
      </w:r>
      <w:r w:rsidR="0070065C" w:rsidRPr="00693D10">
        <w:rPr>
          <w:rFonts w:ascii="Times New Roman" w:hAnsi="Times New Roman"/>
          <w:i/>
        </w:rPr>
        <w:t>P(m)</w:t>
      </w:r>
      <w:r w:rsidR="0070065C" w:rsidRPr="00693D10">
        <w:rPr>
          <w:rFonts w:ascii="Times New Roman" w:hAnsi="Times New Roman"/>
        </w:rPr>
        <w:t xml:space="preserve"> should </w:t>
      </w:r>
      <w:r w:rsidR="00E61140" w:rsidRPr="00693D10">
        <w:rPr>
          <w:rFonts w:ascii="Times New Roman" w:hAnsi="Times New Roman"/>
        </w:rPr>
        <w:t>follow the Boltzmann-</w:t>
      </w:r>
      <w:r w:rsidR="0070065C" w:rsidRPr="00693D10">
        <w:rPr>
          <w:rFonts w:ascii="Times New Roman" w:hAnsi="Times New Roman"/>
        </w:rPr>
        <w:t xml:space="preserve">Gibbs law </w:t>
      </w:r>
      <w:r w:rsidR="0070065C" w:rsidRPr="00693D10">
        <w:rPr>
          <w:rFonts w:ascii="Times New Roman" w:hAnsi="Times New Roman"/>
          <w:i/>
        </w:rPr>
        <w:t>P(m) = Ce</w:t>
      </w:r>
      <w:r w:rsidR="0070065C" w:rsidRPr="00693D10">
        <w:rPr>
          <w:rFonts w:ascii="Times New Roman" w:hAnsi="Times New Roman"/>
          <w:i/>
          <w:vertAlign w:val="superscript"/>
        </w:rPr>
        <w:t>−m/T</w:t>
      </w:r>
      <w:r w:rsidR="0070065C" w:rsidRPr="00693D10">
        <w:rPr>
          <w:rFonts w:ascii="Times New Roman" w:hAnsi="Times New Roman"/>
        </w:rPr>
        <w:t xml:space="preserve">. Here </w:t>
      </w:r>
      <w:r w:rsidR="0070065C" w:rsidRPr="00693D10">
        <w:rPr>
          <w:rFonts w:ascii="Times New Roman" w:hAnsi="Times New Roman"/>
          <w:i/>
        </w:rPr>
        <w:t>m</w:t>
      </w:r>
      <w:r w:rsidR="0070065C" w:rsidRPr="00693D10">
        <w:rPr>
          <w:rFonts w:ascii="Times New Roman" w:hAnsi="Times New Roman"/>
        </w:rPr>
        <w:t xml:space="preserve"> is money, and </w:t>
      </w:r>
      <w:r w:rsidR="0070065C" w:rsidRPr="00693D10">
        <w:rPr>
          <w:rFonts w:ascii="Times New Roman" w:hAnsi="Times New Roman"/>
          <w:i/>
        </w:rPr>
        <w:t>T</w:t>
      </w:r>
      <w:r w:rsidR="0070065C" w:rsidRPr="00693D10">
        <w:rPr>
          <w:rFonts w:ascii="Times New Roman" w:hAnsi="Times New Roman"/>
        </w:rPr>
        <w:t xml:space="preserve"> is an effective temperature equal to the average amount of money per economic agent. The conservation law of money reflects their fundamental property that, unlike material wealth, money (more precisely the fiat, ‘paper’ money) is not allowed to be manufactured by regular economic agents, but can only be transferred between agents.</w:t>
      </w:r>
    </w:p>
    <w:p w:rsidR="002831DD" w:rsidRPr="00693D10" w:rsidRDefault="00F0237D" w:rsidP="002831DD">
      <w:pPr>
        <w:pStyle w:val="BodyChar"/>
        <w:rPr>
          <w:rFonts w:ascii="Times New Roman" w:hAnsi="Times New Roman"/>
          <w:spacing w:val="4"/>
        </w:rPr>
      </w:pPr>
      <w:r w:rsidRPr="00693D10">
        <w:rPr>
          <w:rFonts w:ascii="Times New Roman" w:hAnsi="Times New Roman"/>
        </w:rPr>
        <w:tab/>
      </w:r>
      <w:r w:rsidRPr="00693D10">
        <w:rPr>
          <w:rFonts w:ascii="Times New Roman" w:hAnsi="Times New Roman"/>
          <w:spacing w:val="4"/>
        </w:rPr>
        <w:t xml:space="preserve">Moving Average Convergence Divergence (MACD) and Relative Strength Index (RSI) are indicators of classical technical analysis used for decision making on financial investments, </w:t>
      </w:r>
      <w:r w:rsidR="008E1FBD" w:rsidRPr="00693D10">
        <w:rPr>
          <w:rFonts w:ascii="Times New Roman" w:hAnsi="Times New Roman"/>
          <w:spacing w:val="4"/>
        </w:rPr>
        <w:t>gold</w:t>
      </w:r>
      <w:r w:rsidRPr="00693D10">
        <w:rPr>
          <w:rFonts w:ascii="Times New Roman" w:hAnsi="Times New Roman"/>
          <w:spacing w:val="4"/>
        </w:rPr>
        <w:t>,</w:t>
      </w:r>
      <w:r w:rsidR="008E1FBD" w:rsidRPr="00693D10">
        <w:rPr>
          <w:rFonts w:ascii="Times New Roman" w:hAnsi="Times New Roman"/>
          <w:spacing w:val="4"/>
        </w:rPr>
        <w:t xml:space="preserve"> silver, oil,</w:t>
      </w:r>
      <w:r w:rsidRPr="00693D10">
        <w:rPr>
          <w:rFonts w:ascii="Times New Roman" w:hAnsi="Times New Roman"/>
          <w:spacing w:val="4"/>
        </w:rPr>
        <w:t xml:space="preserve"> CF</w:t>
      </w:r>
      <w:r w:rsidR="005F0877" w:rsidRPr="00693D10">
        <w:rPr>
          <w:rFonts w:ascii="Times New Roman" w:hAnsi="Times New Roman"/>
          <w:spacing w:val="4"/>
        </w:rPr>
        <w:t>Ds, Futures, and stock indices. MACD was constructed by Gerald Appel, an analyst and money manager in New York</w:t>
      </w:r>
      <w:r w:rsidR="003F588A" w:rsidRPr="00693D10">
        <w:rPr>
          <w:rFonts w:ascii="Times New Roman" w:hAnsi="Times New Roman"/>
          <w:spacing w:val="4"/>
        </w:rPr>
        <w:t xml:space="preserve"> [</w:t>
      </w:r>
      <w:r w:rsidR="00BF124B" w:rsidRPr="00693D10">
        <w:rPr>
          <w:rFonts w:ascii="Times New Roman" w:hAnsi="Times New Roman"/>
          <w:spacing w:val="4"/>
        </w:rPr>
        <w:t>11</w:t>
      </w:r>
      <w:r w:rsidR="003F588A" w:rsidRPr="00693D10">
        <w:rPr>
          <w:rFonts w:ascii="Times New Roman" w:hAnsi="Times New Roman"/>
          <w:spacing w:val="4"/>
        </w:rPr>
        <w:t>]</w:t>
      </w:r>
      <w:r w:rsidR="0065754F" w:rsidRPr="00693D10">
        <w:rPr>
          <w:rFonts w:ascii="Times New Roman" w:hAnsi="Times New Roman"/>
          <w:spacing w:val="4"/>
        </w:rPr>
        <w:t xml:space="preserve">. It consists of three EMAs which will generate two signal lines, </w:t>
      </w:r>
      <w:r w:rsidR="001811EA">
        <w:rPr>
          <w:rFonts w:ascii="Times New Roman" w:hAnsi="Times New Roman"/>
          <w:spacing w:val="4"/>
        </w:rPr>
        <w:t xml:space="preserve">the </w:t>
      </w:r>
      <w:r w:rsidR="0065754F" w:rsidRPr="00693D10">
        <w:rPr>
          <w:rFonts w:ascii="Times New Roman" w:hAnsi="Times New Roman"/>
          <w:spacing w:val="4"/>
        </w:rPr>
        <w:t xml:space="preserve">fast MACD line and slow </w:t>
      </w:r>
      <w:r w:rsidR="00564F0C" w:rsidRPr="00693D10">
        <w:rPr>
          <w:rFonts w:ascii="Times New Roman" w:hAnsi="Times New Roman"/>
          <w:spacing w:val="4"/>
        </w:rPr>
        <w:t xml:space="preserve">signal </w:t>
      </w:r>
      <w:r w:rsidR="0065754F" w:rsidRPr="00693D10">
        <w:rPr>
          <w:rFonts w:ascii="Times New Roman" w:hAnsi="Times New Roman"/>
          <w:spacing w:val="4"/>
        </w:rPr>
        <w:t>line</w:t>
      </w:r>
      <w:r w:rsidR="00BF124B" w:rsidRPr="00693D10">
        <w:rPr>
          <w:rFonts w:ascii="Times New Roman" w:hAnsi="Times New Roman"/>
          <w:spacing w:val="4"/>
        </w:rPr>
        <w:t xml:space="preserve"> [12</w:t>
      </w:r>
      <w:r w:rsidR="006D0534" w:rsidRPr="00693D10">
        <w:rPr>
          <w:rFonts w:ascii="Times New Roman" w:hAnsi="Times New Roman"/>
          <w:spacing w:val="4"/>
        </w:rPr>
        <w:t>]</w:t>
      </w:r>
      <w:r w:rsidR="0065754F" w:rsidRPr="00693D10">
        <w:rPr>
          <w:rFonts w:ascii="Times New Roman" w:hAnsi="Times New Roman"/>
          <w:spacing w:val="4"/>
        </w:rPr>
        <w:t>. Their crossovers give the trading signals i.e. “Buy” and “Sell”.</w:t>
      </w:r>
      <w:r w:rsidR="00360A9C" w:rsidRPr="00693D10">
        <w:rPr>
          <w:rFonts w:ascii="Times New Roman" w:hAnsi="Times New Roman"/>
          <w:spacing w:val="4"/>
        </w:rPr>
        <w:t xml:space="preserve"> RSI an oscillator, introduced by J. Welles Wilder, Jr., is based upon the difference between the average gains vs. the average loss over a given period</w:t>
      </w:r>
      <w:r w:rsidR="006D0534" w:rsidRPr="00693D10">
        <w:rPr>
          <w:rFonts w:ascii="Times New Roman" w:hAnsi="Times New Roman"/>
          <w:spacing w:val="4"/>
        </w:rPr>
        <w:t xml:space="preserve"> [</w:t>
      </w:r>
      <w:r w:rsidR="00BF124B" w:rsidRPr="00693D10">
        <w:rPr>
          <w:rFonts w:ascii="Times New Roman" w:hAnsi="Times New Roman"/>
          <w:spacing w:val="4"/>
        </w:rPr>
        <w:t>13</w:t>
      </w:r>
      <w:r w:rsidR="006D0534" w:rsidRPr="00693D10">
        <w:rPr>
          <w:rFonts w:ascii="Times New Roman" w:hAnsi="Times New Roman"/>
          <w:spacing w:val="4"/>
        </w:rPr>
        <w:t>]</w:t>
      </w:r>
      <w:r w:rsidR="00601433" w:rsidRPr="00693D10">
        <w:rPr>
          <w:rFonts w:ascii="Times New Roman" w:hAnsi="Times New Roman"/>
          <w:spacing w:val="4"/>
        </w:rPr>
        <w:t xml:space="preserve"> and </w:t>
      </w:r>
      <w:r w:rsidR="00360A9C" w:rsidRPr="00693D10">
        <w:rPr>
          <w:rFonts w:ascii="Times New Roman" w:hAnsi="Times New Roman"/>
          <w:spacing w:val="4"/>
        </w:rPr>
        <w:t>compares the magnitude of a stock’s recent gains to the magnitude of its recent losses</w:t>
      </w:r>
      <w:r w:rsidR="00BF124B" w:rsidRPr="00693D10">
        <w:rPr>
          <w:rFonts w:ascii="Times New Roman" w:hAnsi="Times New Roman"/>
          <w:spacing w:val="4"/>
        </w:rPr>
        <w:t xml:space="preserve"> [14</w:t>
      </w:r>
      <w:r w:rsidR="00240942" w:rsidRPr="00693D10">
        <w:rPr>
          <w:rFonts w:ascii="Times New Roman" w:hAnsi="Times New Roman"/>
          <w:spacing w:val="4"/>
        </w:rPr>
        <w:t>]</w:t>
      </w:r>
      <w:r w:rsidR="00360A9C" w:rsidRPr="00693D10">
        <w:rPr>
          <w:rFonts w:ascii="Times New Roman" w:hAnsi="Times New Roman"/>
          <w:spacing w:val="4"/>
        </w:rPr>
        <w:t>.</w:t>
      </w:r>
    </w:p>
    <w:p w:rsidR="00F0237D" w:rsidRPr="00693D10" w:rsidRDefault="002831DD" w:rsidP="00F0237D">
      <w:pPr>
        <w:pStyle w:val="BodyChar"/>
        <w:rPr>
          <w:rFonts w:ascii="Times New Roman" w:hAnsi="Times New Roman"/>
          <w:spacing w:val="4"/>
        </w:rPr>
      </w:pPr>
      <w:r w:rsidRPr="00693D10">
        <w:rPr>
          <w:rFonts w:ascii="Times New Roman" w:hAnsi="Times New Roman"/>
          <w:spacing w:val="4"/>
        </w:rPr>
        <w:tab/>
      </w:r>
      <w:r w:rsidR="00F0237D" w:rsidRPr="00693D10">
        <w:rPr>
          <w:rFonts w:ascii="Times New Roman" w:hAnsi="Times New Roman"/>
          <w:spacing w:val="4"/>
        </w:rPr>
        <w:t>The combination of these two indicators is often used to estimate the direction and strength of the trend. A Brexit vote is an international event which will affect the global financial system, especially the currency market. This market is the largest in the world and the currencies directly involved in the vote, namely GBP and EUR, are two of the major currencies.</w:t>
      </w:r>
      <w:r w:rsidR="00A70664" w:rsidRPr="00693D10">
        <w:rPr>
          <w:rFonts w:ascii="Times New Roman" w:hAnsi="Times New Roman"/>
          <w:spacing w:val="4"/>
        </w:rPr>
        <w:t xml:space="preserve"> </w:t>
      </w:r>
      <w:r w:rsidR="00A70664" w:rsidRPr="00693D10">
        <w:rPr>
          <w:rFonts w:ascii="Times New Roman" w:hAnsi="Times New Roman"/>
        </w:rPr>
        <w:t>Classical technical analysis indicators will be difficult to determine the direction of high volatility processing trends. So that new technical analysis is needed more accurately using statistical mechanics</w:t>
      </w:r>
      <w:r w:rsidR="001F2DBC" w:rsidRPr="00693D10">
        <w:rPr>
          <w:rFonts w:ascii="Times New Roman" w:hAnsi="Times New Roman"/>
        </w:rPr>
        <w:t xml:space="preserve"> with </w:t>
      </w:r>
      <w:r w:rsidR="001811EA">
        <w:rPr>
          <w:rFonts w:ascii="Times New Roman" w:hAnsi="Times New Roman"/>
        </w:rPr>
        <w:t xml:space="preserve">the </w:t>
      </w:r>
      <w:r w:rsidR="008164ED" w:rsidRPr="00693D10">
        <w:rPr>
          <w:rFonts w:ascii="Times New Roman" w:hAnsi="Times New Roman"/>
        </w:rPr>
        <w:t>convolution of MACD + RSI based on Maxwell-Boltzmann distribution</w:t>
      </w:r>
      <w:r w:rsidR="00A70664" w:rsidRPr="00693D10">
        <w:rPr>
          <w:rFonts w:ascii="Times New Roman" w:hAnsi="Times New Roman"/>
        </w:rPr>
        <w:t>.</w:t>
      </w:r>
    </w:p>
    <w:p w:rsidR="003D43B1" w:rsidRPr="00693D10" w:rsidRDefault="003D43B1">
      <w:pPr>
        <w:pStyle w:val="BodyChar"/>
        <w:rPr>
          <w:rFonts w:ascii="Times New Roman" w:hAnsi="Times New Roman"/>
          <w:b/>
        </w:rPr>
      </w:pPr>
    </w:p>
    <w:p w:rsidR="00EA3F4B" w:rsidRPr="00693D10" w:rsidRDefault="0042198A" w:rsidP="0042198A">
      <w:pPr>
        <w:pStyle w:val="section"/>
        <w:rPr>
          <w:rFonts w:ascii="Times New Roman" w:hAnsi="Times New Roman"/>
        </w:rPr>
      </w:pPr>
      <w:r w:rsidRPr="00693D10">
        <w:rPr>
          <w:rFonts w:ascii="Times New Roman" w:hAnsi="Times New Roman"/>
        </w:rPr>
        <w:t>Method</w:t>
      </w:r>
    </w:p>
    <w:p w:rsidR="00CC67D9" w:rsidRPr="00693D10" w:rsidRDefault="007B6B7A" w:rsidP="00CC67D9">
      <w:pPr>
        <w:pStyle w:val="BodyChar"/>
        <w:rPr>
          <w:rFonts w:ascii="Times New Roman" w:hAnsi="Times New Roman"/>
          <w:spacing w:val="4"/>
        </w:rPr>
      </w:pPr>
      <w:r w:rsidRPr="00693D10">
        <w:rPr>
          <w:rFonts w:ascii="Times New Roman" w:hAnsi="Times New Roman"/>
          <w:spacing w:val="4"/>
        </w:rPr>
        <w:t xml:space="preserve">Sets of tick-by-tick “trade” data </w:t>
      </w:r>
      <w:r w:rsidR="00D52EB9" w:rsidRPr="00693D10">
        <w:rPr>
          <w:rFonts w:ascii="Times New Roman" w:hAnsi="Times New Roman"/>
          <w:spacing w:val="4"/>
        </w:rPr>
        <w:t xml:space="preserve">at </w:t>
      </w:r>
      <w:r w:rsidR="00C30682" w:rsidRPr="00693D10">
        <w:rPr>
          <w:rFonts w:ascii="Times New Roman" w:hAnsi="Times New Roman"/>
          <w:spacing w:val="4"/>
        </w:rPr>
        <w:t>time frame</w:t>
      </w:r>
      <w:r w:rsidR="00511257" w:rsidRPr="00693D10">
        <w:rPr>
          <w:rFonts w:ascii="Times New Roman" w:hAnsi="Times New Roman"/>
          <w:spacing w:val="4"/>
        </w:rPr>
        <w:t xml:space="preserve"> 15 minute </w:t>
      </w:r>
      <w:r w:rsidRPr="00693D10">
        <w:rPr>
          <w:rFonts w:ascii="Times New Roman" w:hAnsi="Times New Roman"/>
          <w:spacing w:val="4"/>
        </w:rPr>
        <w:t xml:space="preserve">provided by </w:t>
      </w:r>
      <w:r w:rsidR="00C30682" w:rsidRPr="00693D10">
        <w:rPr>
          <w:rFonts w:ascii="Times New Roman" w:hAnsi="Times New Roman"/>
          <w:spacing w:val="4"/>
        </w:rPr>
        <w:t>MetaTr</w:t>
      </w:r>
      <w:r w:rsidR="001811EA">
        <w:rPr>
          <w:rFonts w:ascii="Times New Roman" w:hAnsi="Times New Roman"/>
          <w:spacing w:val="4"/>
        </w:rPr>
        <w:t>a</w:t>
      </w:r>
      <w:r w:rsidR="00C30682" w:rsidRPr="00693D10">
        <w:rPr>
          <w:rFonts w:ascii="Times New Roman" w:hAnsi="Times New Roman"/>
          <w:spacing w:val="4"/>
        </w:rPr>
        <w:t xml:space="preserve">der 4 </w:t>
      </w:r>
      <w:r w:rsidR="00177E09" w:rsidRPr="00693D10">
        <w:rPr>
          <w:rFonts w:ascii="Times New Roman" w:hAnsi="Times New Roman"/>
          <w:spacing w:val="4"/>
        </w:rPr>
        <w:t>[15</w:t>
      </w:r>
      <w:r w:rsidR="006B19BC" w:rsidRPr="00693D10">
        <w:rPr>
          <w:rFonts w:ascii="Times New Roman" w:hAnsi="Times New Roman"/>
          <w:spacing w:val="4"/>
        </w:rPr>
        <w:t xml:space="preserve">] </w:t>
      </w:r>
      <w:r w:rsidR="00C30682" w:rsidRPr="00693D10">
        <w:rPr>
          <w:rFonts w:ascii="Times New Roman" w:hAnsi="Times New Roman"/>
          <w:spacing w:val="4"/>
        </w:rPr>
        <w:t>and MetaTrader 5</w:t>
      </w:r>
      <w:r w:rsidR="006B19BC" w:rsidRPr="00693D10">
        <w:rPr>
          <w:rFonts w:ascii="Times New Roman" w:hAnsi="Times New Roman"/>
          <w:spacing w:val="4"/>
        </w:rPr>
        <w:t xml:space="preserve"> </w:t>
      </w:r>
      <w:r w:rsidR="00177E09" w:rsidRPr="00693D10">
        <w:rPr>
          <w:rFonts w:ascii="Times New Roman" w:hAnsi="Times New Roman"/>
          <w:spacing w:val="4"/>
        </w:rPr>
        <w:t>[16</w:t>
      </w:r>
      <w:r w:rsidR="00C30682" w:rsidRPr="00693D10">
        <w:rPr>
          <w:rFonts w:ascii="Times New Roman" w:hAnsi="Times New Roman"/>
          <w:spacing w:val="4"/>
        </w:rPr>
        <w:t>]</w:t>
      </w:r>
      <w:r w:rsidR="00511257" w:rsidRPr="00693D10">
        <w:rPr>
          <w:rFonts w:ascii="Times New Roman" w:hAnsi="Times New Roman"/>
          <w:spacing w:val="4"/>
        </w:rPr>
        <w:t xml:space="preserve"> </w:t>
      </w:r>
      <w:r w:rsidRPr="00693D10">
        <w:rPr>
          <w:rFonts w:ascii="Times New Roman" w:hAnsi="Times New Roman"/>
          <w:spacing w:val="4"/>
        </w:rPr>
        <w:t>for the GBPUSD exchange rate for the period of 03/01/2019 to 03/</w:t>
      </w:r>
      <w:r w:rsidR="00C30682" w:rsidRPr="00693D10">
        <w:rPr>
          <w:rFonts w:ascii="Times New Roman" w:hAnsi="Times New Roman"/>
          <w:spacing w:val="4"/>
        </w:rPr>
        <w:t>29</w:t>
      </w:r>
      <w:r w:rsidRPr="00693D10">
        <w:rPr>
          <w:rFonts w:ascii="Times New Roman" w:hAnsi="Times New Roman"/>
          <w:spacing w:val="4"/>
        </w:rPr>
        <w:t xml:space="preserve">/2019 </w:t>
      </w:r>
      <w:r w:rsidR="00511257" w:rsidRPr="00693D10">
        <w:rPr>
          <w:rFonts w:ascii="Times New Roman" w:hAnsi="Times New Roman"/>
          <w:spacing w:val="4"/>
        </w:rPr>
        <w:t>during Brexit referendum 2019.</w:t>
      </w:r>
      <w:r w:rsidR="004C464F" w:rsidRPr="00693D10">
        <w:rPr>
          <w:rFonts w:ascii="Times New Roman" w:hAnsi="Times New Roman"/>
          <w:spacing w:val="4"/>
        </w:rPr>
        <w:t xml:space="preserve"> </w:t>
      </w:r>
      <w:r w:rsidR="00CC67D9" w:rsidRPr="00693D10">
        <w:rPr>
          <w:rFonts w:ascii="Times New Roman" w:hAnsi="Times New Roman"/>
          <w:spacing w:val="4"/>
        </w:rPr>
        <w:t xml:space="preserve">This research creates a technical analysis indicator “Raffasya v.1.0” </w:t>
      </w:r>
      <w:r w:rsidR="00D06903" w:rsidRPr="00693D10">
        <w:rPr>
          <w:rFonts w:ascii="Times New Roman" w:hAnsi="Times New Roman"/>
          <w:spacing w:val="4"/>
        </w:rPr>
        <w:t xml:space="preserve">based on statistical mechanics </w:t>
      </w:r>
      <w:r w:rsidR="00CC67D9" w:rsidRPr="00693D10">
        <w:rPr>
          <w:rFonts w:ascii="Times New Roman" w:hAnsi="Times New Roman"/>
          <w:spacing w:val="4"/>
        </w:rPr>
        <w:t>with</w:t>
      </w:r>
      <w:r w:rsidR="008415AC" w:rsidRPr="00693D10">
        <w:rPr>
          <w:rFonts w:ascii="Times New Roman" w:hAnsi="Times New Roman"/>
          <w:spacing w:val="4"/>
        </w:rPr>
        <w:t xml:space="preserve"> Maxwell-Boltzmann distribution </w:t>
      </w:r>
      <w:r w:rsidR="00CC67D9" w:rsidRPr="00693D10">
        <w:rPr>
          <w:rFonts w:ascii="Times New Roman" w:hAnsi="Times New Roman"/>
          <w:spacing w:val="4"/>
        </w:rPr>
        <w:t xml:space="preserve">for financial </w:t>
      </w:r>
      <w:r w:rsidR="005D56F4" w:rsidRPr="00693D10">
        <w:rPr>
          <w:rFonts w:ascii="Times New Roman" w:hAnsi="Times New Roman"/>
          <w:spacing w:val="4"/>
        </w:rPr>
        <w:t>investment with several stages:</w:t>
      </w:r>
      <w:r w:rsidR="00C30682" w:rsidRPr="00693D10">
        <w:rPr>
          <w:rFonts w:ascii="Times New Roman" w:hAnsi="Times New Roman"/>
          <w:spacing w:val="4"/>
        </w:rPr>
        <w:t xml:space="preserve"> </w:t>
      </w:r>
      <w:r w:rsidR="00CC67D9" w:rsidRPr="00693D10">
        <w:rPr>
          <w:rFonts w:ascii="Times New Roman" w:hAnsi="Times New Roman"/>
          <w:spacing w:val="4"/>
        </w:rPr>
        <w:t>(1) convolution of OHLC GBP currency’s chart substitu</w:t>
      </w:r>
      <w:r w:rsidR="005A09E4" w:rsidRPr="00693D10">
        <w:rPr>
          <w:rFonts w:ascii="Times New Roman" w:hAnsi="Times New Roman"/>
          <w:spacing w:val="4"/>
        </w:rPr>
        <w:t xml:space="preserve">ted to MACD(12,26,9) and RSI(14) </w:t>
      </w:r>
      <w:r w:rsidR="00C30682" w:rsidRPr="00693D10">
        <w:rPr>
          <w:rFonts w:ascii="Times New Roman" w:hAnsi="Times New Roman"/>
          <w:spacing w:val="4"/>
        </w:rPr>
        <w:t xml:space="preserve">indicators; </w:t>
      </w:r>
      <w:r w:rsidR="00CC67D9" w:rsidRPr="00693D10">
        <w:rPr>
          <w:rFonts w:ascii="Times New Roman" w:hAnsi="Times New Roman"/>
          <w:spacing w:val="4"/>
        </w:rPr>
        <w:t>(2) convolution of MACD</w:t>
      </w:r>
      <w:r w:rsidR="005A09E4" w:rsidRPr="00693D10">
        <w:rPr>
          <w:rFonts w:ascii="Times New Roman" w:hAnsi="Times New Roman"/>
          <w:spacing w:val="4"/>
        </w:rPr>
        <w:t>(12,26,9)</w:t>
      </w:r>
      <w:r w:rsidR="00CC67D9" w:rsidRPr="00693D10">
        <w:rPr>
          <w:rFonts w:ascii="Times New Roman" w:hAnsi="Times New Roman"/>
          <w:spacing w:val="4"/>
        </w:rPr>
        <w:t xml:space="preserve"> (histogram and slow line), RSI</w:t>
      </w:r>
      <w:r w:rsidR="005A09E4" w:rsidRPr="00693D10">
        <w:rPr>
          <w:rFonts w:ascii="Times New Roman" w:hAnsi="Times New Roman"/>
          <w:spacing w:val="4"/>
        </w:rPr>
        <w:t>(14)</w:t>
      </w:r>
      <w:r w:rsidR="00CC67D9" w:rsidRPr="00693D10">
        <w:rPr>
          <w:rFonts w:ascii="Times New Roman" w:hAnsi="Times New Roman"/>
          <w:spacing w:val="4"/>
        </w:rPr>
        <w:t xml:space="preserve">, OHLC, and volume of GBP currency’s candle into the Maxwell-Boltzmann distribution; (3) created the algorithm of Maxwell-Boltzmann convolution with programming script as the MQL4 </w:t>
      </w:r>
      <w:r w:rsidR="00177E09" w:rsidRPr="00693D10">
        <w:rPr>
          <w:rFonts w:ascii="Times New Roman" w:hAnsi="Times New Roman"/>
          <w:spacing w:val="4"/>
        </w:rPr>
        <w:t>[15</w:t>
      </w:r>
      <w:r w:rsidR="00D025B9" w:rsidRPr="00693D10">
        <w:rPr>
          <w:rFonts w:ascii="Times New Roman" w:hAnsi="Times New Roman"/>
          <w:spacing w:val="4"/>
        </w:rPr>
        <w:t xml:space="preserve">] </w:t>
      </w:r>
      <w:r w:rsidR="00CC67D9" w:rsidRPr="00693D10">
        <w:rPr>
          <w:rFonts w:ascii="Times New Roman" w:hAnsi="Times New Roman"/>
          <w:spacing w:val="4"/>
        </w:rPr>
        <w:t xml:space="preserve">and MQL5 </w:t>
      </w:r>
      <w:r w:rsidR="00177E09" w:rsidRPr="00693D10">
        <w:rPr>
          <w:rFonts w:ascii="Times New Roman" w:hAnsi="Times New Roman"/>
          <w:spacing w:val="4"/>
        </w:rPr>
        <w:t>[16</w:t>
      </w:r>
      <w:r w:rsidR="00D025B9" w:rsidRPr="00693D10">
        <w:rPr>
          <w:rFonts w:ascii="Times New Roman" w:hAnsi="Times New Roman"/>
          <w:spacing w:val="4"/>
        </w:rPr>
        <w:t xml:space="preserve">] </w:t>
      </w:r>
      <w:r w:rsidR="00137F58" w:rsidRPr="00693D10">
        <w:rPr>
          <w:rFonts w:ascii="Times New Roman" w:hAnsi="Times New Roman"/>
          <w:spacing w:val="4"/>
        </w:rPr>
        <w:t>namely</w:t>
      </w:r>
      <w:r w:rsidR="00CC67D9" w:rsidRPr="00693D10">
        <w:rPr>
          <w:rFonts w:ascii="Times New Roman" w:hAnsi="Times New Roman"/>
          <w:spacing w:val="4"/>
        </w:rPr>
        <w:t xml:space="preserve"> “Raffasya v.1.0” indicators using MetaQuote software; (4) test of net income and relative drawdown of the “Raffasya v.1.0” indicators on GBP currency before and after UK Parliament vote on Brexit deal March 2019 using MetaTrader 4 and MetaTra</w:t>
      </w:r>
      <w:r w:rsidR="005C7E47" w:rsidRPr="00693D10">
        <w:rPr>
          <w:rFonts w:ascii="Times New Roman" w:hAnsi="Times New Roman"/>
          <w:spacing w:val="4"/>
        </w:rPr>
        <w:t>der 5.</w:t>
      </w:r>
    </w:p>
    <w:p w:rsidR="00531DD4" w:rsidRPr="00693D10" w:rsidRDefault="00531DD4">
      <w:pPr>
        <w:pStyle w:val="BodyChar"/>
        <w:rPr>
          <w:rFonts w:ascii="Times New Roman" w:hAnsi="Times New Roman"/>
        </w:rPr>
      </w:pPr>
    </w:p>
    <w:p w:rsidR="00EA3F4B" w:rsidRPr="00693D10" w:rsidRDefault="00A42FDA" w:rsidP="00A42FDA">
      <w:pPr>
        <w:pStyle w:val="section"/>
        <w:rPr>
          <w:rFonts w:ascii="Times New Roman" w:hAnsi="Times New Roman"/>
        </w:rPr>
      </w:pPr>
      <w:r w:rsidRPr="00693D10">
        <w:rPr>
          <w:rFonts w:ascii="Times New Roman" w:hAnsi="Times New Roman"/>
        </w:rPr>
        <w:t>Result and Discussion</w:t>
      </w:r>
    </w:p>
    <w:p w:rsidR="0099183B" w:rsidRPr="00693D10" w:rsidRDefault="0099183B" w:rsidP="00732756">
      <w:pPr>
        <w:pStyle w:val="BodyChar"/>
        <w:rPr>
          <w:rFonts w:ascii="Times New Roman" w:hAnsi="Times New Roman"/>
        </w:rPr>
      </w:pPr>
      <w:r w:rsidRPr="00693D10">
        <w:rPr>
          <w:rFonts w:ascii="Times New Roman" w:hAnsi="Times New Roman"/>
        </w:rPr>
        <w:t>Financial closing price (close price) is the most important price in trading shares in the financial sector.</w:t>
      </w:r>
      <w:r w:rsidR="00732756" w:rsidRPr="00693D10">
        <w:rPr>
          <w:rFonts w:ascii="Times New Roman" w:hAnsi="Times New Roman"/>
        </w:rPr>
        <w:t xml:space="preserve">  The closing price of </w:t>
      </w:r>
      <w:r w:rsidR="001811EA">
        <w:rPr>
          <w:rFonts w:ascii="Times New Roman" w:hAnsi="Times New Roman"/>
        </w:rPr>
        <w:t xml:space="preserve">the </w:t>
      </w:r>
      <w:r w:rsidR="00732756" w:rsidRPr="00693D10">
        <w:rPr>
          <w:rFonts w:ascii="Times New Roman" w:hAnsi="Times New Roman"/>
        </w:rPr>
        <w:t xml:space="preserve">financial sector can be used as </w:t>
      </w:r>
      <w:r w:rsidR="001811EA">
        <w:rPr>
          <w:rFonts w:ascii="Times New Roman" w:hAnsi="Times New Roman"/>
        </w:rPr>
        <w:t xml:space="preserve">a </w:t>
      </w:r>
      <w:r w:rsidR="00732756" w:rsidRPr="00693D10">
        <w:rPr>
          <w:rFonts w:ascii="Times New Roman" w:hAnsi="Times New Roman"/>
        </w:rPr>
        <w:t xml:space="preserve">basis for forming a new price index related to financial sector returns as explained in the research of N Rahmawati and T E Lestari </w:t>
      </w:r>
      <w:r w:rsidR="00973A41" w:rsidRPr="00693D10">
        <w:rPr>
          <w:rFonts w:ascii="Times New Roman" w:hAnsi="Times New Roman"/>
        </w:rPr>
        <w:t>[17].</w:t>
      </w:r>
      <w:r w:rsidR="00CC3CDE" w:rsidRPr="00693D10">
        <w:rPr>
          <w:rFonts w:ascii="Times New Roman" w:hAnsi="Times New Roman"/>
        </w:rPr>
        <w:t xml:space="preserve"> </w:t>
      </w:r>
      <w:r w:rsidR="00C83CC9" w:rsidRPr="00693D10">
        <w:rPr>
          <w:rFonts w:ascii="Times New Roman" w:hAnsi="Times New Roman"/>
        </w:rPr>
        <w:t xml:space="preserve">The dynamics of GBPUSD </w:t>
      </w:r>
      <w:r w:rsidR="008E4840" w:rsidRPr="00693D10">
        <w:rPr>
          <w:rFonts w:ascii="Times New Roman" w:hAnsi="Times New Roman"/>
        </w:rPr>
        <w:t xml:space="preserve">TF 15 minutes </w:t>
      </w:r>
      <w:r w:rsidR="00C83CC9" w:rsidRPr="00693D10">
        <w:rPr>
          <w:rFonts w:ascii="Times New Roman" w:hAnsi="Times New Roman"/>
        </w:rPr>
        <w:t>during the Brex</w:t>
      </w:r>
      <w:r w:rsidR="002A47AA" w:rsidRPr="00693D10">
        <w:rPr>
          <w:rFonts w:ascii="Times New Roman" w:hAnsi="Times New Roman"/>
        </w:rPr>
        <w:t>it referendum are presented in F</w:t>
      </w:r>
      <w:r w:rsidR="00C83CC9" w:rsidRPr="00693D10">
        <w:rPr>
          <w:rFonts w:ascii="Times New Roman" w:hAnsi="Times New Roman"/>
        </w:rPr>
        <w:t>igure 1 below with parameters of closing prices and volumes from 01-01-2019 to 03-29-2019.</w:t>
      </w:r>
      <w:r w:rsidR="00A039CA" w:rsidRPr="00693D10">
        <w:rPr>
          <w:rFonts w:ascii="Times New Roman" w:hAnsi="Times New Roman"/>
        </w:rPr>
        <w:t xml:space="preserve"> Based on volume data shows that there are high fluctuations on 03-05-2019 and 03-12-2019 with cand</w:t>
      </w:r>
      <w:r w:rsidR="001811EA">
        <w:rPr>
          <w:rFonts w:ascii="Times New Roman" w:hAnsi="Times New Roman"/>
        </w:rPr>
        <w:t>le</w:t>
      </w:r>
      <w:r w:rsidR="00A039CA" w:rsidRPr="00693D10">
        <w:rPr>
          <w:rFonts w:ascii="Times New Roman" w:hAnsi="Times New Roman"/>
        </w:rPr>
        <w:t xml:space="preserve"> values ​​above 800 pips (5 decimal places).</w:t>
      </w:r>
      <w:r w:rsidR="006F0731" w:rsidRPr="00693D10">
        <w:rPr>
          <w:rFonts w:ascii="Times New Roman" w:hAnsi="Times New Roman"/>
        </w:rPr>
        <w:t xml:space="preserve"> </w:t>
      </w:r>
    </w:p>
    <w:p w:rsidR="00E31545" w:rsidRPr="00693D10" w:rsidRDefault="00E31545" w:rsidP="00732756">
      <w:pPr>
        <w:pStyle w:val="BodyChar"/>
        <w:rPr>
          <w:rFonts w:ascii="Times New Roman" w:hAnsi="Times New Roman"/>
        </w:rPr>
      </w:pPr>
      <w:r w:rsidRPr="00693D10">
        <w:rPr>
          <w:rFonts w:ascii="Times New Roman" w:hAnsi="Times New Roman"/>
        </w:rPr>
        <w:tab/>
      </w:r>
    </w:p>
    <w:p w:rsidR="007C5881" w:rsidRPr="00693D10" w:rsidRDefault="0035356A" w:rsidP="0035356A">
      <w:pPr>
        <w:pStyle w:val="BodyChar"/>
        <w:jc w:val="center"/>
        <w:rPr>
          <w:rFonts w:ascii="Times New Roman" w:hAnsi="Times New Roman"/>
        </w:rPr>
      </w:pPr>
      <w:r w:rsidRPr="00693D10">
        <w:rPr>
          <w:rFonts w:ascii="Times New Roman" w:hAnsi="Times New Roman"/>
          <w:noProof/>
          <w:lang w:val="en-US"/>
        </w:rPr>
        <w:lastRenderedPageBreak/>
        <w:drawing>
          <wp:inline distT="0" distB="0" distL="0" distR="0" wp14:anchorId="1B53764A" wp14:editId="6BEDB758">
            <wp:extent cx="5755005"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005" cy="2743200"/>
                    </a:xfrm>
                    <a:prstGeom prst="rect">
                      <a:avLst/>
                    </a:prstGeom>
                    <a:noFill/>
                  </pic:spPr>
                </pic:pic>
              </a:graphicData>
            </a:graphic>
          </wp:inline>
        </w:drawing>
      </w:r>
    </w:p>
    <w:p w:rsidR="00853049" w:rsidRPr="00693D10" w:rsidRDefault="00853049" w:rsidP="00853049">
      <w:pPr>
        <w:pStyle w:val="AEuroAbstract"/>
        <w:spacing w:before="0"/>
        <w:rPr>
          <w:b/>
          <w:spacing w:val="4"/>
          <w:sz w:val="22"/>
          <w:szCs w:val="22"/>
        </w:rPr>
      </w:pPr>
    </w:p>
    <w:p w:rsidR="00030789" w:rsidRPr="00693D10" w:rsidRDefault="00030789" w:rsidP="00853049">
      <w:pPr>
        <w:pStyle w:val="AEuroAbstract"/>
        <w:spacing w:before="0"/>
        <w:rPr>
          <w:spacing w:val="4"/>
          <w:sz w:val="22"/>
          <w:szCs w:val="22"/>
        </w:rPr>
      </w:pPr>
      <w:r w:rsidRPr="00693D10">
        <w:rPr>
          <w:b/>
          <w:spacing w:val="4"/>
          <w:sz w:val="22"/>
          <w:szCs w:val="22"/>
        </w:rPr>
        <w:t>Figure 1.</w:t>
      </w:r>
      <w:r w:rsidRPr="00693D10">
        <w:rPr>
          <w:spacing w:val="4"/>
          <w:sz w:val="22"/>
          <w:szCs w:val="22"/>
        </w:rPr>
        <w:t xml:space="preserve"> </w:t>
      </w:r>
      <w:r w:rsidR="006F0731" w:rsidRPr="00693D10">
        <w:rPr>
          <w:spacing w:val="4"/>
          <w:sz w:val="22"/>
          <w:szCs w:val="22"/>
        </w:rPr>
        <w:t>Distribution of GBPUSD prices TF 15 minutes during Brexit referendum 01-03-2019 until 03-29-2019</w:t>
      </w:r>
      <w:r w:rsidR="006535C0" w:rsidRPr="00693D10">
        <w:rPr>
          <w:spacing w:val="4"/>
          <w:sz w:val="22"/>
          <w:szCs w:val="22"/>
        </w:rPr>
        <w:t xml:space="preserve"> </w:t>
      </w:r>
    </w:p>
    <w:p w:rsidR="00F51F64" w:rsidRPr="00EB0FDE" w:rsidRDefault="00226718" w:rsidP="00312D0E">
      <w:pPr>
        <w:pStyle w:val="BodyChar"/>
        <w:rPr>
          <w:rFonts w:ascii="Times New Roman" w:hAnsi="Times New Roman"/>
        </w:rPr>
      </w:pPr>
      <w:r w:rsidRPr="00693D10">
        <w:rPr>
          <w:rFonts w:ascii="Times New Roman" w:hAnsi="Times New Roman"/>
        </w:rPr>
        <w:tab/>
      </w:r>
    </w:p>
    <w:p w:rsidR="00F51F64" w:rsidRPr="00693D10" w:rsidRDefault="00AC4273" w:rsidP="0035356A">
      <w:pPr>
        <w:pStyle w:val="AEuroAbstract"/>
        <w:spacing w:before="0"/>
        <w:jc w:val="center"/>
        <w:rPr>
          <w:spacing w:val="4"/>
          <w:sz w:val="22"/>
          <w:szCs w:val="22"/>
        </w:rPr>
      </w:pPr>
      <w:r w:rsidRPr="00693D10">
        <w:rPr>
          <w:noProof/>
          <w:spacing w:val="4"/>
          <w:sz w:val="22"/>
          <w:szCs w:val="22"/>
          <w:lang w:eastAsia="en-US"/>
        </w:rPr>
        <w:drawing>
          <wp:inline distT="0" distB="0" distL="0" distR="0" wp14:anchorId="199F893B" wp14:editId="1860633E">
            <wp:extent cx="5742940" cy="274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2743200"/>
                    </a:xfrm>
                    <a:prstGeom prst="rect">
                      <a:avLst/>
                    </a:prstGeom>
                    <a:noFill/>
                  </pic:spPr>
                </pic:pic>
              </a:graphicData>
            </a:graphic>
          </wp:inline>
        </w:drawing>
      </w:r>
    </w:p>
    <w:p w:rsidR="00AC4273" w:rsidRPr="00693D10" w:rsidRDefault="00AC4273" w:rsidP="0035356A">
      <w:pPr>
        <w:pStyle w:val="AEuroAbstract"/>
        <w:spacing w:before="0"/>
        <w:jc w:val="center"/>
        <w:rPr>
          <w:spacing w:val="4"/>
          <w:sz w:val="22"/>
          <w:szCs w:val="22"/>
        </w:rPr>
      </w:pPr>
    </w:p>
    <w:p w:rsidR="0051315D" w:rsidRDefault="004167A7" w:rsidP="00363E90">
      <w:pPr>
        <w:pStyle w:val="AEuroAbstract"/>
        <w:spacing w:before="0"/>
        <w:rPr>
          <w:spacing w:val="4"/>
          <w:sz w:val="22"/>
          <w:szCs w:val="22"/>
        </w:rPr>
      </w:pPr>
      <w:r w:rsidRPr="00693D10">
        <w:rPr>
          <w:b/>
          <w:spacing w:val="4"/>
          <w:sz w:val="22"/>
          <w:szCs w:val="22"/>
        </w:rPr>
        <w:t>Figure 2</w:t>
      </w:r>
      <w:r w:rsidR="0051315D" w:rsidRPr="00693D10">
        <w:rPr>
          <w:b/>
          <w:spacing w:val="4"/>
          <w:sz w:val="22"/>
          <w:szCs w:val="22"/>
        </w:rPr>
        <w:t>.</w:t>
      </w:r>
      <w:r w:rsidR="003B20BC" w:rsidRPr="00693D10">
        <w:rPr>
          <w:spacing w:val="4"/>
          <w:sz w:val="22"/>
          <w:szCs w:val="22"/>
        </w:rPr>
        <w:t xml:space="preserve"> Distribution of MACD</w:t>
      </w:r>
      <w:r w:rsidR="005A09E4" w:rsidRPr="00693D10">
        <w:rPr>
          <w:spacing w:val="4"/>
          <w:sz w:val="22"/>
          <w:szCs w:val="22"/>
        </w:rPr>
        <w:t>(12,26,9)</w:t>
      </w:r>
      <w:r w:rsidR="003B20BC" w:rsidRPr="00693D10">
        <w:rPr>
          <w:spacing w:val="4"/>
          <w:sz w:val="22"/>
          <w:szCs w:val="22"/>
        </w:rPr>
        <w:t xml:space="preserve"> and RSI</w:t>
      </w:r>
      <w:r w:rsidR="005A09E4" w:rsidRPr="00693D10">
        <w:rPr>
          <w:spacing w:val="4"/>
          <w:sz w:val="22"/>
          <w:szCs w:val="22"/>
        </w:rPr>
        <w:t>(14)</w:t>
      </w:r>
      <w:r w:rsidR="003B20BC" w:rsidRPr="00693D10">
        <w:rPr>
          <w:spacing w:val="4"/>
          <w:sz w:val="22"/>
          <w:szCs w:val="22"/>
        </w:rPr>
        <w:t xml:space="preserve"> convolution results at GBPUSD prices TF 15 minutes during Brexit referendum 01-03-2019 until 03-29-2019</w:t>
      </w:r>
    </w:p>
    <w:p w:rsidR="00EB0FDE" w:rsidRPr="00693D10" w:rsidRDefault="00EB0FDE" w:rsidP="00363E90">
      <w:pPr>
        <w:pStyle w:val="AEuroAbstract"/>
        <w:spacing w:before="0"/>
        <w:rPr>
          <w:spacing w:val="4"/>
          <w:sz w:val="22"/>
          <w:szCs w:val="22"/>
        </w:rPr>
      </w:pPr>
    </w:p>
    <w:p w:rsidR="003F1BC3" w:rsidRPr="00693D10" w:rsidRDefault="00AF2F7F" w:rsidP="003F1BC3">
      <w:pPr>
        <w:pStyle w:val="BodyChar"/>
        <w:rPr>
          <w:rFonts w:ascii="Times New Roman" w:hAnsi="Times New Roman"/>
        </w:rPr>
      </w:pPr>
      <w:r w:rsidRPr="00693D10">
        <w:rPr>
          <w:rFonts w:ascii="Times New Roman" w:hAnsi="Times New Roman"/>
        </w:rPr>
        <w:tab/>
        <w:t xml:space="preserve">The GBPUSD’s OHLC data is carried out by convolution with the </w:t>
      </w:r>
      <w:r w:rsidR="002210AB" w:rsidRPr="00693D10">
        <w:rPr>
          <w:rFonts w:ascii="Times New Roman" w:hAnsi="Times New Roman"/>
        </w:rPr>
        <w:t>Good Distance of Spectrum</w:t>
      </w:r>
      <w:r w:rsidRPr="00693D10">
        <w:rPr>
          <w:rFonts w:ascii="Times New Roman" w:hAnsi="Times New Roman"/>
        </w:rPr>
        <w:t xml:space="preserve"> </w:t>
      </w:r>
      <w:r w:rsidR="002210AB" w:rsidRPr="00693D10">
        <w:rPr>
          <w:rFonts w:ascii="Times New Roman" w:hAnsi="Times New Roman"/>
        </w:rPr>
        <w:t>approach</w:t>
      </w:r>
      <w:r w:rsidRPr="00693D10">
        <w:rPr>
          <w:rFonts w:ascii="Times New Roman" w:hAnsi="Times New Roman"/>
        </w:rPr>
        <w:t xml:space="preserve"> </w:t>
      </w:r>
      <w:r w:rsidR="00DD3FE0" w:rsidRPr="00693D10">
        <w:rPr>
          <w:rFonts w:ascii="Times New Roman" w:hAnsi="Times New Roman"/>
        </w:rPr>
        <w:t xml:space="preserve">[18] </w:t>
      </w:r>
      <w:r w:rsidRPr="00693D10">
        <w:rPr>
          <w:rFonts w:ascii="Times New Roman" w:hAnsi="Times New Roman"/>
        </w:rPr>
        <w:t>on the MACD</w:t>
      </w:r>
      <w:r w:rsidR="005A09E4" w:rsidRPr="00693D10">
        <w:rPr>
          <w:rFonts w:ascii="Times New Roman" w:hAnsi="Times New Roman"/>
        </w:rPr>
        <w:t xml:space="preserve">(12,26,9) and RSI(14) </w:t>
      </w:r>
      <w:r w:rsidRPr="00693D10">
        <w:rPr>
          <w:rFonts w:ascii="Times New Roman" w:hAnsi="Times New Roman"/>
        </w:rPr>
        <w:t>indicators</w:t>
      </w:r>
      <w:r w:rsidR="00CA2DA3" w:rsidRPr="00693D10">
        <w:rPr>
          <w:rFonts w:ascii="Times New Roman" w:hAnsi="Times New Roman"/>
        </w:rPr>
        <w:t xml:space="preserve"> (see equation number </w:t>
      </w:r>
      <w:r w:rsidR="00F45D0C" w:rsidRPr="00693D10">
        <w:rPr>
          <w:rFonts w:ascii="Times New Roman" w:hAnsi="Times New Roman"/>
        </w:rPr>
        <w:t>(</w:t>
      </w:r>
      <w:r w:rsidR="00CA2DA3" w:rsidRPr="00693D10">
        <w:rPr>
          <w:rFonts w:ascii="Times New Roman" w:hAnsi="Times New Roman"/>
        </w:rPr>
        <w:t>1</w:t>
      </w:r>
      <w:r w:rsidR="00F45D0C" w:rsidRPr="00693D10">
        <w:rPr>
          <w:rFonts w:ascii="Times New Roman" w:hAnsi="Times New Roman"/>
        </w:rPr>
        <w:t>)</w:t>
      </w:r>
      <w:r w:rsidR="00CA2DA3" w:rsidRPr="00693D10">
        <w:rPr>
          <w:rFonts w:ascii="Times New Roman" w:hAnsi="Times New Roman"/>
        </w:rPr>
        <w:t>)</w:t>
      </w:r>
      <w:r w:rsidRPr="00693D10">
        <w:rPr>
          <w:rFonts w:ascii="Times New Roman" w:hAnsi="Times New Roman"/>
        </w:rPr>
        <w:t>. The calculation of the MACD</w:t>
      </w:r>
      <w:r w:rsidR="005A09E4" w:rsidRPr="00693D10">
        <w:rPr>
          <w:rFonts w:ascii="Times New Roman" w:hAnsi="Times New Roman"/>
        </w:rPr>
        <w:t>(12,26,9)</w:t>
      </w:r>
      <w:r w:rsidRPr="00693D10">
        <w:rPr>
          <w:rFonts w:ascii="Times New Roman" w:hAnsi="Times New Roman"/>
        </w:rPr>
        <w:t xml:space="preserve"> indicator convolutions uses the MACD equation found by Gerald Appel [11][12] while the RSI</w:t>
      </w:r>
      <w:r w:rsidR="005A09E4" w:rsidRPr="00693D10">
        <w:rPr>
          <w:rFonts w:ascii="Times New Roman" w:hAnsi="Times New Roman"/>
        </w:rPr>
        <w:t>(14)</w:t>
      </w:r>
      <w:r w:rsidRPr="00693D10">
        <w:rPr>
          <w:rFonts w:ascii="Times New Roman" w:hAnsi="Times New Roman"/>
        </w:rPr>
        <w:t xml:space="preserve"> convolutions use the equation found by J. Welles Wilder, Jr. [13][14]. The results of the convolution calculation </w:t>
      </w:r>
      <w:r w:rsidR="002A47AA" w:rsidRPr="00693D10">
        <w:rPr>
          <w:rFonts w:ascii="Times New Roman" w:hAnsi="Times New Roman"/>
        </w:rPr>
        <w:t>are shown in the following F</w:t>
      </w:r>
      <w:r w:rsidRPr="00693D10">
        <w:rPr>
          <w:rFonts w:ascii="Times New Roman" w:hAnsi="Times New Roman"/>
        </w:rPr>
        <w:t>igure 2.</w:t>
      </w:r>
      <w:r w:rsidR="003F1BC3" w:rsidRPr="00693D10">
        <w:rPr>
          <w:rFonts w:ascii="Times New Roman" w:hAnsi="Times New Roman"/>
        </w:rPr>
        <w:t xml:space="preserve"> MACD</w:t>
      </w:r>
      <w:r w:rsidR="005A09E4" w:rsidRPr="00693D10">
        <w:rPr>
          <w:rFonts w:ascii="Times New Roman" w:hAnsi="Times New Roman"/>
        </w:rPr>
        <w:t xml:space="preserve">(12,26,9) </w:t>
      </w:r>
      <w:r w:rsidR="003F1BC3" w:rsidRPr="00693D10">
        <w:rPr>
          <w:rFonts w:ascii="Times New Roman" w:hAnsi="Times New Roman"/>
        </w:rPr>
        <w:t>and RSI</w:t>
      </w:r>
      <w:r w:rsidR="005A09E4" w:rsidRPr="00693D10">
        <w:rPr>
          <w:rFonts w:ascii="Times New Roman" w:hAnsi="Times New Roman"/>
        </w:rPr>
        <w:t>(14)</w:t>
      </w:r>
      <w:r w:rsidR="003F1BC3" w:rsidRPr="00693D10">
        <w:rPr>
          <w:rFonts w:ascii="Times New Roman" w:hAnsi="Times New Roman"/>
        </w:rPr>
        <w:t xml:space="preserve"> convolution uses Maxwell-B</w:t>
      </w:r>
      <w:r w:rsidR="00DF219A" w:rsidRPr="00693D10">
        <w:rPr>
          <w:rFonts w:ascii="Times New Roman" w:hAnsi="Times New Roman"/>
        </w:rPr>
        <w:t xml:space="preserve">oltzmann's </w:t>
      </w:r>
      <w:r w:rsidR="00E73E65">
        <w:rPr>
          <w:rFonts w:ascii="Times New Roman" w:hAnsi="Times New Roman"/>
        </w:rPr>
        <w:t>general distribution [19</w:t>
      </w:r>
      <w:r w:rsidR="0073233C">
        <w:rPr>
          <w:rFonts w:ascii="Times New Roman" w:hAnsi="Times New Roman"/>
        </w:rPr>
        <w:t>]</w:t>
      </w:r>
      <w:r w:rsidR="00E73E65">
        <w:rPr>
          <w:rFonts w:ascii="Times New Roman" w:hAnsi="Times New Roman"/>
        </w:rPr>
        <w:t xml:space="preserve"> </w:t>
      </w:r>
      <w:r w:rsidR="00CA2DA3" w:rsidRPr="00693D10">
        <w:rPr>
          <w:rFonts w:ascii="Times New Roman" w:hAnsi="Times New Roman"/>
        </w:rPr>
        <w:t xml:space="preserve">(see equation number </w:t>
      </w:r>
      <w:r w:rsidR="00F45D0C" w:rsidRPr="00693D10">
        <w:rPr>
          <w:rFonts w:ascii="Times New Roman" w:hAnsi="Times New Roman"/>
        </w:rPr>
        <w:t>(</w:t>
      </w:r>
      <w:r w:rsidR="00CA2DA3" w:rsidRPr="00693D10">
        <w:rPr>
          <w:rFonts w:ascii="Times New Roman" w:hAnsi="Times New Roman"/>
        </w:rPr>
        <w:t>2</w:t>
      </w:r>
      <w:r w:rsidR="00F45D0C" w:rsidRPr="00693D10">
        <w:rPr>
          <w:rFonts w:ascii="Times New Roman" w:hAnsi="Times New Roman"/>
        </w:rPr>
        <w:t>)</w:t>
      </w:r>
      <w:r w:rsidR="00CA2DA3" w:rsidRPr="00693D10">
        <w:rPr>
          <w:rFonts w:ascii="Times New Roman" w:hAnsi="Times New Roman"/>
        </w:rPr>
        <w:t xml:space="preserve">) </w:t>
      </w:r>
      <w:r w:rsidR="003F1BC3" w:rsidRPr="00693D10">
        <w:rPr>
          <w:rFonts w:ascii="Times New Roman" w:hAnsi="Times New Roman"/>
        </w:rPr>
        <w:t xml:space="preserve">using analog references </w:t>
      </w:r>
      <w:r w:rsidR="00084F57" w:rsidRPr="00693D10">
        <w:rPr>
          <w:rFonts w:ascii="Times New Roman" w:hAnsi="Times New Roman"/>
        </w:rPr>
        <w:t xml:space="preserve">[8][9] </w:t>
      </w:r>
      <w:r w:rsidR="003F1BC3" w:rsidRPr="00693D10">
        <w:rPr>
          <w:rFonts w:ascii="Times New Roman" w:hAnsi="Times New Roman"/>
        </w:rPr>
        <w:t>in the fo</w:t>
      </w:r>
      <w:r w:rsidR="00FE6466" w:rsidRPr="00693D10">
        <w:rPr>
          <w:rFonts w:ascii="Times New Roman" w:hAnsi="Times New Roman"/>
        </w:rPr>
        <w:t xml:space="preserve">llowing formula </w:t>
      </w:r>
      <w:r w:rsidR="005A09E4" w:rsidRPr="00693D10">
        <w:rPr>
          <w:rFonts w:ascii="Times New Roman" w:hAnsi="Times New Roman"/>
        </w:rPr>
        <w:t xml:space="preserve">in </w:t>
      </w:r>
      <w:r w:rsidR="002A47AA" w:rsidRPr="00693D10">
        <w:rPr>
          <w:rFonts w:ascii="Times New Roman" w:hAnsi="Times New Roman"/>
        </w:rPr>
        <w:t>T</w:t>
      </w:r>
      <w:r w:rsidR="0028280C" w:rsidRPr="00693D10">
        <w:rPr>
          <w:rFonts w:ascii="Times New Roman" w:hAnsi="Times New Roman"/>
        </w:rPr>
        <w:t>able 1.</w:t>
      </w:r>
    </w:p>
    <w:p w:rsidR="00143701" w:rsidRPr="00693D10" w:rsidRDefault="00143701" w:rsidP="003F1BC3">
      <w:pPr>
        <w:pStyle w:val="BodyCha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68"/>
        <w:gridCol w:w="719"/>
      </w:tblGrid>
      <w:tr w:rsidR="00F45D0C" w:rsidRPr="00693D10" w:rsidTr="008756E5">
        <w:tc>
          <w:tcPr>
            <w:tcW w:w="8568" w:type="dxa"/>
            <w:vAlign w:val="center"/>
          </w:tcPr>
          <w:p w:rsidR="00F45D0C" w:rsidRPr="00693D10" w:rsidRDefault="00A3108B" w:rsidP="008756E5">
            <w:pPr>
              <w:pStyle w:val="BodyChar"/>
              <w:jc w:val="center"/>
              <w:rPr>
                <w:rFonts w:ascii="Times New Roman" w:hAnsi="Times New Roman"/>
                <w:i/>
              </w:rPr>
            </w:pPr>
            <w:r w:rsidRPr="00693D10">
              <w:rPr>
                <w:rFonts w:ascii="Times New Roman" w:hAnsi="Times New Roman"/>
                <w:i/>
              </w:rPr>
              <w:t>G(D) = G</w:t>
            </w:r>
            <w:r w:rsidRPr="00693D10">
              <w:rPr>
                <w:rFonts w:ascii="Times New Roman" w:hAnsi="Times New Roman"/>
                <w:i/>
                <w:vertAlign w:val="subscript"/>
              </w:rPr>
              <w:t>0</w:t>
            </w:r>
            <w:r w:rsidRPr="00693D10">
              <w:rPr>
                <w:rFonts w:ascii="Times New Roman" w:hAnsi="Times New Roman"/>
                <w:i/>
              </w:rPr>
              <w:t xml:space="preserve"> + G</w:t>
            </w:r>
            <w:r w:rsidRPr="00693D10">
              <w:rPr>
                <w:rFonts w:ascii="Times New Roman" w:hAnsi="Times New Roman"/>
                <w:i/>
                <w:vertAlign w:val="subscript"/>
              </w:rPr>
              <w:t>1</w:t>
            </w:r>
            <w:r w:rsidRPr="00693D10">
              <w:rPr>
                <w:rFonts w:ascii="Times New Roman" w:hAnsi="Times New Roman"/>
                <w:i/>
              </w:rPr>
              <w:t>D + + … + G</w:t>
            </w:r>
            <w:r w:rsidRPr="00693D10">
              <w:rPr>
                <w:rFonts w:ascii="Times New Roman" w:hAnsi="Times New Roman"/>
                <w:i/>
                <w:vertAlign w:val="subscript"/>
              </w:rPr>
              <w:t>m</w:t>
            </w:r>
            <w:r w:rsidRPr="00693D10">
              <w:rPr>
                <w:rFonts w:ascii="Times New Roman" w:hAnsi="Times New Roman"/>
                <w:i/>
              </w:rPr>
              <w:t>D</w:t>
            </w:r>
            <w:r w:rsidRPr="00693D10">
              <w:rPr>
                <w:rFonts w:ascii="Times New Roman" w:hAnsi="Times New Roman"/>
                <w:i/>
                <w:vertAlign w:val="superscript"/>
              </w:rPr>
              <w:t>m</w:t>
            </w:r>
          </w:p>
        </w:tc>
        <w:tc>
          <w:tcPr>
            <w:tcW w:w="719" w:type="dxa"/>
            <w:vAlign w:val="center"/>
          </w:tcPr>
          <w:p w:rsidR="00F45D0C" w:rsidRPr="00693D10" w:rsidRDefault="00F45D0C" w:rsidP="008756E5">
            <w:pPr>
              <w:pStyle w:val="BodyChar"/>
              <w:jc w:val="right"/>
              <w:rPr>
                <w:rFonts w:ascii="Times New Roman" w:hAnsi="Times New Roman"/>
              </w:rPr>
            </w:pPr>
            <w:r w:rsidRPr="00693D10">
              <w:rPr>
                <w:rFonts w:ascii="Times New Roman" w:hAnsi="Times New Roman"/>
              </w:rPr>
              <w:t>(1)</w:t>
            </w:r>
          </w:p>
        </w:tc>
      </w:tr>
    </w:tbl>
    <w:p w:rsidR="00F45D0C" w:rsidRPr="00693D10" w:rsidRDefault="00F45D0C" w:rsidP="003F1BC3">
      <w:pPr>
        <w:pStyle w:val="BodyCha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68"/>
        <w:gridCol w:w="719"/>
      </w:tblGrid>
      <w:tr w:rsidR="001D1348" w:rsidRPr="00693D10" w:rsidTr="00B236E3">
        <w:tc>
          <w:tcPr>
            <w:tcW w:w="8568" w:type="dxa"/>
            <w:vAlign w:val="center"/>
          </w:tcPr>
          <w:p w:rsidR="001D1348" w:rsidRPr="00693D10" w:rsidRDefault="001237A4" w:rsidP="000A67FA">
            <w:pPr>
              <w:pStyle w:val="BodyChar"/>
              <w:jc w:val="center"/>
              <w:rPr>
                <w:rFonts w:ascii="Times New Roman" w:hAnsi="Times New Roman"/>
              </w:rPr>
            </w:pPr>
            <w:r w:rsidRPr="00693D10">
              <w:rPr>
                <w:rFonts w:ascii="Times New Roman" w:hAnsi="Times New Roman"/>
                <w:position w:val="-32"/>
              </w:rPr>
              <w:object w:dxaOrig="35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9pt" o:ole="">
                  <v:imagedata r:id="rId9" o:title=""/>
                </v:shape>
                <o:OLEObject Type="Embed" ProgID="Equation.3" ShapeID="_x0000_i1025" DrawAspect="Content" ObjectID="_1627991165" r:id="rId10"/>
              </w:object>
            </w:r>
          </w:p>
        </w:tc>
        <w:tc>
          <w:tcPr>
            <w:tcW w:w="719" w:type="dxa"/>
            <w:vAlign w:val="center"/>
          </w:tcPr>
          <w:p w:rsidR="001D1348" w:rsidRPr="00693D10" w:rsidRDefault="001D1348" w:rsidP="00F45D0C">
            <w:pPr>
              <w:pStyle w:val="BodyChar"/>
              <w:jc w:val="right"/>
              <w:rPr>
                <w:rFonts w:ascii="Times New Roman" w:hAnsi="Times New Roman"/>
              </w:rPr>
            </w:pPr>
            <w:r w:rsidRPr="00693D10">
              <w:rPr>
                <w:rFonts w:ascii="Times New Roman" w:hAnsi="Times New Roman"/>
              </w:rPr>
              <w:t>(</w:t>
            </w:r>
            <w:r w:rsidR="00F45D0C" w:rsidRPr="00693D10">
              <w:rPr>
                <w:rFonts w:ascii="Times New Roman" w:hAnsi="Times New Roman"/>
              </w:rPr>
              <w:t>2</w:t>
            </w:r>
            <w:r w:rsidRPr="00693D10">
              <w:rPr>
                <w:rFonts w:ascii="Times New Roman" w:hAnsi="Times New Roman"/>
              </w:rPr>
              <w:t>)</w:t>
            </w:r>
          </w:p>
        </w:tc>
      </w:tr>
    </w:tbl>
    <w:p w:rsidR="00721C82" w:rsidRPr="00693D10" w:rsidRDefault="00721C82" w:rsidP="00721C82">
      <w:pPr>
        <w:pStyle w:val="BodyChar"/>
        <w:jc w:val="center"/>
        <w:rPr>
          <w:rFonts w:ascii="Times New Roman" w:hAnsi="Times New Roman"/>
          <w:b/>
        </w:rPr>
      </w:pPr>
    </w:p>
    <w:p w:rsidR="00143701" w:rsidRPr="00693D10" w:rsidRDefault="003C1B58" w:rsidP="00721C82">
      <w:pPr>
        <w:pStyle w:val="BodyChar"/>
        <w:jc w:val="center"/>
        <w:rPr>
          <w:rFonts w:ascii="Times New Roman" w:hAnsi="Times New Roman"/>
        </w:rPr>
      </w:pPr>
      <w:r w:rsidRPr="00693D10">
        <w:rPr>
          <w:rFonts w:ascii="Times New Roman" w:hAnsi="Times New Roman"/>
          <w:b/>
        </w:rPr>
        <w:t xml:space="preserve">Table 1. </w:t>
      </w:r>
      <w:r w:rsidR="00721C82" w:rsidRPr="00693D10">
        <w:rPr>
          <w:rFonts w:ascii="Times New Roman" w:hAnsi="Times New Roman"/>
        </w:rPr>
        <w:t>Convolution of MACD</w:t>
      </w:r>
      <w:r w:rsidR="00D151BB" w:rsidRPr="00693D10">
        <w:rPr>
          <w:rFonts w:ascii="Times New Roman" w:hAnsi="Times New Roman"/>
        </w:rPr>
        <w:t>(12,26,9)</w:t>
      </w:r>
      <w:r w:rsidR="00721C82" w:rsidRPr="00693D10">
        <w:rPr>
          <w:rFonts w:ascii="Times New Roman" w:hAnsi="Times New Roman"/>
        </w:rPr>
        <w:t xml:space="preserve"> + RSI</w:t>
      </w:r>
      <w:r w:rsidR="00D151BB" w:rsidRPr="00693D10">
        <w:rPr>
          <w:rFonts w:ascii="Times New Roman" w:hAnsi="Times New Roman"/>
        </w:rPr>
        <w:t>(14)</w:t>
      </w:r>
      <w:r w:rsidR="00721C82" w:rsidRPr="00693D10">
        <w:rPr>
          <w:rFonts w:ascii="Times New Roman" w:hAnsi="Times New Roman"/>
        </w:rPr>
        <w:t xml:space="preserve"> based on Maxwell-Boltzmann distribution</w:t>
      </w:r>
    </w:p>
    <w:p w:rsidR="003C1B58" w:rsidRPr="00693D10" w:rsidRDefault="003C1B58" w:rsidP="003F1BC3">
      <w:pPr>
        <w:pStyle w:val="BodyChar"/>
        <w:rPr>
          <w:rFonts w:ascii="Times New Roman" w:hAnsi="Times New Roman"/>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8"/>
        <w:gridCol w:w="1980"/>
        <w:gridCol w:w="3870"/>
        <w:gridCol w:w="1619"/>
      </w:tblGrid>
      <w:tr w:rsidR="00422324" w:rsidRPr="00693D10" w:rsidTr="001017CD">
        <w:tc>
          <w:tcPr>
            <w:tcW w:w="1818" w:type="dxa"/>
            <w:tcBorders>
              <w:bottom w:val="single" w:sz="4" w:space="0" w:color="auto"/>
            </w:tcBorders>
          </w:tcPr>
          <w:p w:rsidR="000A4D90" w:rsidRPr="00693D10" w:rsidRDefault="000A4D90" w:rsidP="005A6D09">
            <w:pPr>
              <w:pStyle w:val="BodyChar"/>
              <w:jc w:val="center"/>
              <w:rPr>
                <w:rFonts w:ascii="Times New Roman" w:hAnsi="Times New Roman"/>
              </w:rPr>
            </w:pPr>
            <w:r w:rsidRPr="00693D10">
              <w:rPr>
                <w:rFonts w:ascii="Times New Roman" w:hAnsi="Times New Roman"/>
              </w:rPr>
              <w:t>Goal</w:t>
            </w:r>
          </w:p>
        </w:tc>
        <w:tc>
          <w:tcPr>
            <w:tcW w:w="1980" w:type="dxa"/>
            <w:tcBorders>
              <w:bottom w:val="single" w:sz="4" w:space="0" w:color="auto"/>
            </w:tcBorders>
          </w:tcPr>
          <w:p w:rsidR="000A4D90" w:rsidRPr="00693D10" w:rsidRDefault="000A4D90" w:rsidP="005A6D09">
            <w:pPr>
              <w:pStyle w:val="BodyChar"/>
              <w:jc w:val="center"/>
              <w:rPr>
                <w:rFonts w:ascii="Times New Roman" w:hAnsi="Times New Roman"/>
              </w:rPr>
            </w:pPr>
            <w:r w:rsidRPr="00693D10">
              <w:rPr>
                <w:rFonts w:ascii="Times New Roman" w:hAnsi="Times New Roman"/>
              </w:rPr>
              <w:t>Input</w:t>
            </w:r>
          </w:p>
        </w:tc>
        <w:tc>
          <w:tcPr>
            <w:tcW w:w="3870" w:type="dxa"/>
            <w:tcBorders>
              <w:bottom w:val="single" w:sz="4" w:space="0" w:color="auto"/>
            </w:tcBorders>
          </w:tcPr>
          <w:p w:rsidR="000A4D90" w:rsidRPr="00693D10" w:rsidRDefault="00007269" w:rsidP="005A6D09">
            <w:pPr>
              <w:pStyle w:val="BodyChar"/>
              <w:jc w:val="center"/>
              <w:rPr>
                <w:rFonts w:ascii="Times New Roman" w:hAnsi="Times New Roman"/>
              </w:rPr>
            </w:pPr>
            <w:r w:rsidRPr="00693D10">
              <w:rPr>
                <w:rFonts w:ascii="Times New Roman" w:hAnsi="Times New Roman"/>
              </w:rPr>
              <w:t>Convolution calculation process</w:t>
            </w:r>
          </w:p>
        </w:tc>
        <w:tc>
          <w:tcPr>
            <w:tcW w:w="1619" w:type="dxa"/>
            <w:tcBorders>
              <w:bottom w:val="single" w:sz="4" w:space="0" w:color="auto"/>
            </w:tcBorders>
          </w:tcPr>
          <w:p w:rsidR="000A4D90" w:rsidRPr="00693D10" w:rsidRDefault="000A4D90" w:rsidP="005A6D09">
            <w:pPr>
              <w:pStyle w:val="BodyChar"/>
              <w:jc w:val="center"/>
              <w:rPr>
                <w:rFonts w:ascii="Times New Roman" w:hAnsi="Times New Roman"/>
              </w:rPr>
            </w:pPr>
            <w:r w:rsidRPr="00693D10">
              <w:rPr>
                <w:rFonts w:ascii="Times New Roman" w:hAnsi="Times New Roman"/>
              </w:rPr>
              <w:t>Output</w:t>
            </w:r>
          </w:p>
        </w:tc>
      </w:tr>
      <w:tr w:rsidR="00422324" w:rsidRPr="00693D10" w:rsidTr="001017CD">
        <w:tc>
          <w:tcPr>
            <w:tcW w:w="1818" w:type="dxa"/>
            <w:tcBorders>
              <w:bottom w:val="nil"/>
            </w:tcBorders>
            <w:vAlign w:val="center"/>
          </w:tcPr>
          <w:p w:rsidR="000A4D90" w:rsidRPr="00693D10" w:rsidRDefault="006700DB" w:rsidP="009D354E">
            <w:pPr>
              <w:pStyle w:val="BodyChar"/>
              <w:jc w:val="center"/>
              <w:rPr>
                <w:rFonts w:ascii="Times New Roman" w:hAnsi="Times New Roman"/>
                <w:i/>
              </w:rPr>
            </w:pPr>
            <w:r w:rsidRPr="00693D10">
              <w:rPr>
                <w:rFonts w:ascii="Times New Roman" w:hAnsi="Times New Roman"/>
                <w:i/>
              </w:rPr>
              <w:t>π</w:t>
            </w:r>
          </w:p>
        </w:tc>
        <w:tc>
          <w:tcPr>
            <w:tcW w:w="1980" w:type="dxa"/>
            <w:tcBorders>
              <w:bottom w:val="nil"/>
            </w:tcBorders>
            <w:vAlign w:val="center"/>
          </w:tcPr>
          <w:p w:rsidR="000A4D90" w:rsidRPr="00693D10" w:rsidRDefault="001237A4" w:rsidP="009D354E">
            <w:pPr>
              <w:pStyle w:val="BodyChar"/>
              <w:jc w:val="center"/>
              <w:rPr>
                <w:rFonts w:ascii="Times New Roman" w:hAnsi="Times New Roman"/>
              </w:rPr>
            </w:pPr>
            <w:r w:rsidRPr="00693D10">
              <w:rPr>
                <w:rFonts w:ascii="Times New Roman" w:hAnsi="Times New Roman"/>
              </w:rPr>
              <w:t>3.14</w:t>
            </w:r>
          </w:p>
        </w:tc>
        <w:tc>
          <w:tcPr>
            <w:tcW w:w="3870" w:type="dxa"/>
            <w:tcBorders>
              <w:bottom w:val="nil"/>
            </w:tcBorders>
            <w:vAlign w:val="center"/>
          </w:tcPr>
          <w:p w:rsidR="000A4D90" w:rsidRPr="00693D10" w:rsidRDefault="001237A4" w:rsidP="009D354E">
            <w:pPr>
              <w:pStyle w:val="BodyChar"/>
              <w:jc w:val="center"/>
              <w:rPr>
                <w:rFonts w:ascii="Times New Roman" w:hAnsi="Times New Roman"/>
              </w:rPr>
            </w:pPr>
            <w:r w:rsidRPr="00693D10">
              <w:rPr>
                <w:rFonts w:ascii="Times New Roman" w:hAnsi="Times New Roman"/>
              </w:rPr>
              <w:t>3.14</w:t>
            </w:r>
          </w:p>
        </w:tc>
        <w:tc>
          <w:tcPr>
            <w:tcW w:w="1619" w:type="dxa"/>
            <w:tcBorders>
              <w:bottom w:val="nil"/>
            </w:tcBorders>
            <w:vAlign w:val="center"/>
          </w:tcPr>
          <w:p w:rsidR="000A4D90" w:rsidRPr="00693D10" w:rsidRDefault="00BA5B1F" w:rsidP="009D354E">
            <w:pPr>
              <w:pStyle w:val="BodyChar"/>
              <w:jc w:val="center"/>
              <w:rPr>
                <w:rFonts w:ascii="Times New Roman" w:hAnsi="Times New Roman"/>
              </w:rPr>
            </w:pPr>
            <w:r w:rsidRPr="00693D10">
              <w:rPr>
                <w:rFonts w:ascii="Times New Roman" w:hAnsi="Times New Roman"/>
                <w:i/>
              </w:rPr>
              <w:t>π</w:t>
            </w:r>
          </w:p>
        </w:tc>
      </w:tr>
      <w:tr w:rsidR="00422324" w:rsidRPr="00693D10" w:rsidTr="001017CD">
        <w:tc>
          <w:tcPr>
            <w:tcW w:w="1818" w:type="dxa"/>
            <w:tcBorders>
              <w:top w:val="nil"/>
              <w:bottom w:val="nil"/>
            </w:tcBorders>
            <w:vAlign w:val="center"/>
          </w:tcPr>
          <w:p w:rsidR="000A4D90" w:rsidRPr="00693D10" w:rsidRDefault="001237A4" w:rsidP="009D354E">
            <w:pPr>
              <w:pStyle w:val="BodyChar"/>
              <w:jc w:val="center"/>
              <w:rPr>
                <w:rFonts w:ascii="Times New Roman" w:hAnsi="Times New Roman"/>
                <w:i/>
              </w:rPr>
            </w:pPr>
            <w:r w:rsidRPr="00693D10">
              <w:rPr>
                <w:rFonts w:ascii="Times New Roman" w:hAnsi="Times New Roman"/>
                <w:i/>
              </w:rPr>
              <w:t>N</w:t>
            </w:r>
          </w:p>
        </w:tc>
        <w:tc>
          <w:tcPr>
            <w:tcW w:w="1980" w:type="dxa"/>
            <w:tcBorders>
              <w:top w:val="nil"/>
              <w:bottom w:val="nil"/>
            </w:tcBorders>
            <w:vAlign w:val="center"/>
          </w:tcPr>
          <w:p w:rsidR="000A4D90" w:rsidRPr="00693D10" w:rsidRDefault="001237A4" w:rsidP="009D354E">
            <w:pPr>
              <w:pStyle w:val="BodyChar"/>
              <w:jc w:val="center"/>
              <w:rPr>
                <w:rFonts w:ascii="Times New Roman" w:hAnsi="Times New Roman"/>
              </w:rPr>
            </w:pPr>
            <w:r w:rsidRPr="00693D10">
              <w:rPr>
                <w:rFonts w:ascii="Times New Roman" w:hAnsi="Times New Roman"/>
                <w:i/>
              </w:rPr>
              <w:t>RSI</w:t>
            </w:r>
          </w:p>
        </w:tc>
        <w:tc>
          <w:tcPr>
            <w:tcW w:w="3870" w:type="dxa"/>
            <w:tcBorders>
              <w:top w:val="nil"/>
              <w:bottom w:val="nil"/>
            </w:tcBorders>
            <w:vAlign w:val="center"/>
          </w:tcPr>
          <w:p w:rsidR="000A4D90" w:rsidRPr="00693D10" w:rsidRDefault="001237A4" w:rsidP="009D354E">
            <w:pPr>
              <w:pStyle w:val="BodyChar"/>
              <w:jc w:val="center"/>
              <w:rPr>
                <w:rFonts w:ascii="Times New Roman" w:hAnsi="Times New Roman"/>
              </w:rPr>
            </w:pPr>
            <w:r w:rsidRPr="00693D10">
              <w:rPr>
                <w:rFonts w:ascii="Times New Roman" w:hAnsi="Times New Roman"/>
                <w:i/>
              </w:rPr>
              <w:t xml:space="preserve">N = </w:t>
            </w:r>
            <w:r w:rsidR="00D2652E" w:rsidRPr="00693D10">
              <w:rPr>
                <w:rFonts w:ascii="Times New Roman" w:hAnsi="Times New Roman"/>
              </w:rPr>
              <w:t>(</w:t>
            </w:r>
            <w:r w:rsidRPr="00693D10">
              <w:rPr>
                <w:rFonts w:ascii="Times New Roman" w:hAnsi="Times New Roman"/>
                <w:i/>
              </w:rPr>
              <w:t>RSI</w:t>
            </w:r>
            <w:r w:rsidRPr="00693D10">
              <w:rPr>
                <w:rFonts w:ascii="Times New Roman" w:hAnsi="Times New Roman"/>
              </w:rPr>
              <w:t xml:space="preserve"> – 50</w:t>
            </w:r>
            <w:r w:rsidR="00D2652E" w:rsidRPr="00693D10">
              <w:rPr>
                <w:rFonts w:ascii="Times New Roman" w:hAnsi="Times New Roman"/>
              </w:rPr>
              <w:t>)</w:t>
            </w:r>
            <w:r w:rsidR="00D2652E" w:rsidRPr="00693D10">
              <w:rPr>
                <w:rFonts w:ascii="Times New Roman" w:hAnsi="Times New Roman"/>
                <w:vertAlign w:val="superscript"/>
              </w:rPr>
              <w:t>2</w:t>
            </w:r>
          </w:p>
        </w:tc>
        <w:tc>
          <w:tcPr>
            <w:tcW w:w="1619" w:type="dxa"/>
            <w:tcBorders>
              <w:top w:val="nil"/>
              <w:bottom w:val="nil"/>
            </w:tcBorders>
            <w:vAlign w:val="center"/>
          </w:tcPr>
          <w:p w:rsidR="000A4D90" w:rsidRPr="00693D10" w:rsidRDefault="001237A4" w:rsidP="009D354E">
            <w:pPr>
              <w:pStyle w:val="BodyChar"/>
              <w:jc w:val="center"/>
              <w:rPr>
                <w:rFonts w:ascii="Times New Roman" w:hAnsi="Times New Roman"/>
                <w:i/>
              </w:rPr>
            </w:pPr>
            <w:r w:rsidRPr="00693D10">
              <w:rPr>
                <w:rFonts w:ascii="Times New Roman" w:hAnsi="Times New Roman"/>
                <w:i/>
              </w:rPr>
              <w:t>N</w:t>
            </w:r>
          </w:p>
        </w:tc>
      </w:tr>
      <w:tr w:rsidR="00422324" w:rsidRPr="00693D10" w:rsidTr="001017CD">
        <w:tc>
          <w:tcPr>
            <w:tcW w:w="1818" w:type="dxa"/>
            <w:tcBorders>
              <w:top w:val="nil"/>
              <w:bottom w:val="nil"/>
            </w:tcBorders>
            <w:vAlign w:val="center"/>
          </w:tcPr>
          <w:p w:rsidR="000A4D90" w:rsidRPr="00693D10" w:rsidRDefault="00041278" w:rsidP="009D354E">
            <w:pPr>
              <w:pStyle w:val="BodyChar"/>
              <w:jc w:val="center"/>
              <w:rPr>
                <w:rFonts w:ascii="Times New Roman" w:hAnsi="Times New Roman"/>
                <w:i/>
              </w:rPr>
            </w:pPr>
            <w:r w:rsidRPr="00693D10">
              <w:rPr>
                <w:rFonts w:ascii="Times New Roman" w:hAnsi="Times New Roman"/>
                <w:i/>
              </w:rPr>
              <w:t>m</w:t>
            </w:r>
          </w:p>
        </w:tc>
        <w:tc>
          <w:tcPr>
            <w:tcW w:w="1980" w:type="dxa"/>
            <w:tcBorders>
              <w:top w:val="nil"/>
              <w:bottom w:val="nil"/>
            </w:tcBorders>
            <w:vAlign w:val="center"/>
          </w:tcPr>
          <w:p w:rsidR="000A4D90" w:rsidRPr="00693D10" w:rsidRDefault="00041278" w:rsidP="009D354E">
            <w:pPr>
              <w:pStyle w:val="BodyChar"/>
              <w:jc w:val="center"/>
              <w:rPr>
                <w:rFonts w:ascii="Times New Roman" w:hAnsi="Times New Roman"/>
              </w:rPr>
            </w:pPr>
            <w:r w:rsidRPr="00693D10">
              <w:rPr>
                <w:rFonts w:ascii="Times New Roman" w:hAnsi="Times New Roman"/>
                <w:i/>
              </w:rPr>
              <w:t>MACD Histogram</w:t>
            </w:r>
          </w:p>
        </w:tc>
        <w:tc>
          <w:tcPr>
            <w:tcW w:w="3870" w:type="dxa"/>
            <w:tcBorders>
              <w:top w:val="nil"/>
              <w:bottom w:val="nil"/>
            </w:tcBorders>
            <w:vAlign w:val="center"/>
          </w:tcPr>
          <w:p w:rsidR="000A4D90" w:rsidRPr="00693D10" w:rsidRDefault="00041278" w:rsidP="009D354E">
            <w:pPr>
              <w:pStyle w:val="BodyChar"/>
              <w:jc w:val="center"/>
              <w:rPr>
                <w:rFonts w:ascii="Times New Roman" w:hAnsi="Times New Roman"/>
              </w:rPr>
            </w:pPr>
            <w:r w:rsidRPr="00693D10">
              <w:rPr>
                <w:rFonts w:ascii="Times New Roman" w:hAnsi="Times New Roman"/>
                <w:i/>
              </w:rPr>
              <w:t>m</w:t>
            </w:r>
            <w:r w:rsidRPr="00693D10">
              <w:rPr>
                <w:rFonts w:ascii="Times New Roman" w:hAnsi="Times New Roman"/>
              </w:rPr>
              <w:t xml:space="preserve"> = </w:t>
            </w:r>
            <w:r w:rsidR="00477201" w:rsidRPr="00693D10">
              <w:rPr>
                <w:rFonts w:ascii="Times New Roman" w:hAnsi="Times New Roman"/>
              </w:rPr>
              <w:t>(</w:t>
            </w:r>
            <w:r w:rsidRPr="00693D10">
              <w:rPr>
                <w:rFonts w:ascii="Times New Roman" w:hAnsi="Times New Roman"/>
                <w:i/>
              </w:rPr>
              <w:t>MACD Histogram</w:t>
            </w:r>
            <w:r w:rsidR="00477201" w:rsidRPr="00693D10">
              <w:rPr>
                <w:rFonts w:ascii="Times New Roman" w:hAnsi="Times New Roman"/>
              </w:rPr>
              <w:t>)</w:t>
            </w:r>
            <w:r w:rsidR="00477201" w:rsidRPr="00693D10">
              <w:rPr>
                <w:rFonts w:ascii="Times New Roman" w:hAnsi="Times New Roman"/>
                <w:vertAlign w:val="superscript"/>
              </w:rPr>
              <w:t>2</w:t>
            </w:r>
          </w:p>
        </w:tc>
        <w:tc>
          <w:tcPr>
            <w:tcW w:w="1619" w:type="dxa"/>
            <w:tcBorders>
              <w:top w:val="nil"/>
              <w:bottom w:val="nil"/>
            </w:tcBorders>
            <w:vAlign w:val="center"/>
          </w:tcPr>
          <w:p w:rsidR="000A4D90" w:rsidRPr="00693D10" w:rsidRDefault="004A14DA" w:rsidP="009D354E">
            <w:pPr>
              <w:pStyle w:val="BodyChar"/>
              <w:jc w:val="center"/>
              <w:rPr>
                <w:rFonts w:ascii="Times New Roman" w:hAnsi="Times New Roman"/>
                <w:i/>
              </w:rPr>
            </w:pPr>
            <w:r w:rsidRPr="00693D10">
              <w:rPr>
                <w:rFonts w:ascii="Times New Roman" w:hAnsi="Times New Roman"/>
                <w:i/>
              </w:rPr>
              <w:t>m</w:t>
            </w:r>
          </w:p>
        </w:tc>
      </w:tr>
      <w:tr w:rsidR="00422324" w:rsidRPr="00693D10" w:rsidTr="001017CD">
        <w:tc>
          <w:tcPr>
            <w:tcW w:w="1818" w:type="dxa"/>
            <w:tcBorders>
              <w:top w:val="nil"/>
              <w:bottom w:val="nil"/>
            </w:tcBorders>
            <w:vAlign w:val="center"/>
          </w:tcPr>
          <w:p w:rsidR="000A4D90" w:rsidRPr="00693D10" w:rsidRDefault="005A6D09" w:rsidP="009D354E">
            <w:pPr>
              <w:pStyle w:val="BodyChar"/>
              <w:jc w:val="center"/>
              <w:rPr>
                <w:rFonts w:ascii="Times New Roman" w:hAnsi="Times New Roman"/>
                <w:i/>
              </w:rPr>
            </w:pPr>
            <w:r w:rsidRPr="00693D10">
              <w:rPr>
                <w:rFonts w:ascii="Times New Roman" w:hAnsi="Times New Roman"/>
                <w:i/>
              </w:rPr>
              <w:t>k</w:t>
            </w:r>
          </w:p>
        </w:tc>
        <w:tc>
          <w:tcPr>
            <w:tcW w:w="1980" w:type="dxa"/>
            <w:tcBorders>
              <w:top w:val="nil"/>
              <w:bottom w:val="nil"/>
            </w:tcBorders>
            <w:vAlign w:val="center"/>
          </w:tcPr>
          <w:p w:rsidR="000A4D90" w:rsidRPr="00693D10" w:rsidRDefault="005A6D09" w:rsidP="009D354E">
            <w:pPr>
              <w:pStyle w:val="BodyChar"/>
              <w:jc w:val="center"/>
              <w:rPr>
                <w:rFonts w:ascii="Times New Roman" w:hAnsi="Times New Roman"/>
              </w:rPr>
            </w:pPr>
            <w:r w:rsidRPr="00693D10">
              <w:rPr>
                <w:rFonts w:ascii="Times New Roman" w:hAnsi="Times New Roman"/>
              </w:rPr>
              <w:t>1,38 × 10</w:t>
            </w:r>
            <w:r w:rsidRPr="00693D10">
              <w:rPr>
                <w:rFonts w:ascii="Times New Roman" w:hAnsi="Times New Roman"/>
                <w:vertAlign w:val="superscript"/>
              </w:rPr>
              <w:t>-23</w:t>
            </w:r>
          </w:p>
        </w:tc>
        <w:tc>
          <w:tcPr>
            <w:tcW w:w="3870" w:type="dxa"/>
            <w:tcBorders>
              <w:top w:val="nil"/>
              <w:bottom w:val="nil"/>
            </w:tcBorders>
            <w:vAlign w:val="center"/>
          </w:tcPr>
          <w:p w:rsidR="000A4D90" w:rsidRPr="00693D10" w:rsidRDefault="005A6D09" w:rsidP="009D354E">
            <w:pPr>
              <w:pStyle w:val="BodyChar"/>
              <w:jc w:val="center"/>
              <w:rPr>
                <w:rFonts w:ascii="Times New Roman" w:hAnsi="Times New Roman"/>
              </w:rPr>
            </w:pPr>
            <w:r w:rsidRPr="00693D10">
              <w:rPr>
                <w:rFonts w:ascii="Times New Roman" w:hAnsi="Times New Roman"/>
                <w:i/>
              </w:rPr>
              <w:t>k</w:t>
            </w:r>
            <w:r w:rsidRPr="00693D10">
              <w:rPr>
                <w:rFonts w:ascii="Times New Roman" w:hAnsi="Times New Roman"/>
              </w:rPr>
              <w:t xml:space="preserve"> = 1,38 × 10</w:t>
            </w:r>
            <w:r w:rsidRPr="00693D10">
              <w:rPr>
                <w:rFonts w:ascii="Times New Roman" w:hAnsi="Times New Roman"/>
                <w:vertAlign w:val="superscript"/>
              </w:rPr>
              <w:t>-23</w:t>
            </w:r>
          </w:p>
        </w:tc>
        <w:tc>
          <w:tcPr>
            <w:tcW w:w="1619" w:type="dxa"/>
            <w:tcBorders>
              <w:top w:val="nil"/>
              <w:bottom w:val="nil"/>
            </w:tcBorders>
            <w:vAlign w:val="center"/>
          </w:tcPr>
          <w:p w:rsidR="000A4D90" w:rsidRPr="00693D10" w:rsidRDefault="005A6D09" w:rsidP="009D354E">
            <w:pPr>
              <w:pStyle w:val="BodyChar"/>
              <w:jc w:val="center"/>
              <w:rPr>
                <w:rFonts w:ascii="Times New Roman" w:hAnsi="Times New Roman"/>
                <w:i/>
              </w:rPr>
            </w:pPr>
            <w:r w:rsidRPr="00693D10">
              <w:rPr>
                <w:rFonts w:ascii="Times New Roman" w:hAnsi="Times New Roman"/>
                <w:i/>
              </w:rPr>
              <w:t>k</w:t>
            </w:r>
          </w:p>
        </w:tc>
      </w:tr>
      <w:tr w:rsidR="001017CD" w:rsidRPr="00693D10" w:rsidTr="001017CD">
        <w:tc>
          <w:tcPr>
            <w:tcW w:w="1818" w:type="dxa"/>
            <w:tcBorders>
              <w:top w:val="nil"/>
              <w:bottom w:val="nil"/>
            </w:tcBorders>
            <w:vAlign w:val="center"/>
          </w:tcPr>
          <w:p w:rsidR="005D44C4" w:rsidRPr="00693D10" w:rsidRDefault="009674D4" w:rsidP="009D354E">
            <w:pPr>
              <w:pStyle w:val="BodyChar"/>
              <w:jc w:val="center"/>
              <w:rPr>
                <w:rFonts w:ascii="Times New Roman" w:hAnsi="Times New Roman"/>
                <w:i/>
              </w:rPr>
            </w:pPr>
            <w:r w:rsidRPr="00693D10">
              <w:rPr>
                <w:rFonts w:ascii="Times New Roman" w:hAnsi="Times New Roman"/>
                <w:i/>
              </w:rPr>
              <w:t>T</w:t>
            </w:r>
          </w:p>
        </w:tc>
        <w:tc>
          <w:tcPr>
            <w:tcW w:w="1980" w:type="dxa"/>
            <w:tcBorders>
              <w:top w:val="nil"/>
              <w:bottom w:val="nil"/>
            </w:tcBorders>
            <w:vAlign w:val="center"/>
          </w:tcPr>
          <w:p w:rsidR="005D44C4" w:rsidRPr="00693D10" w:rsidRDefault="009674D4" w:rsidP="009D354E">
            <w:pPr>
              <w:pStyle w:val="BodyChar"/>
              <w:jc w:val="center"/>
              <w:rPr>
                <w:rFonts w:ascii="Times New Roman" w:hAnsi="Times New Roman"/>
                <w:i/>
              </w:rPr>
            </w:pPr>
            <w:r w:rsidRPr="00693D10">
              <w:rPr>
                <w:rFonts w:ascii="Times New Roman" w:hAnsi="Times New Roman"/>
                <w:i/>
              </w:rPr>
              <w:t>Close Price</w:t>
            </w:r>
          </w:p>
        </w:tc>
        <w:tc>
          <w:tcPr>
            <w:tcW w:w="3870" w:type="dxa"/>
            <w:tcBorders>
              <w:top w:val="nil"/>
              <w:bottom w:val="nil"/>
            </w:tcBorders>
            <w:vAlign w:val="center"/>
          </w:tcPr>
          <w:p w:rsidR="005D44C4" w:rsidRPr="00693D10" w:rsidRDefault="009674D4" w:rsidP="009D354E">
            <w:pPr>
              <w:pStyle w:val="BodyChar"/>
              <w:jc w:val="center"/>
              <w:rPr>
                <w:rFonts w:ascii="Times New Roman" w:hAnsi="Times New Roman"/>
                <w:i/>
              </w:rPr>
            </w:pPr>
            <w:r w:rsidRPr="00693D10">
              <w:rPr>
                <w:rFonts w:ascii="Times New Roman" w:hAnsi="Times New Roman"/>
                <w:i/>
              </w:rPr>
              <w:t>T = Close Price</w:t>
            </w:r>
          </w:p>
        </w:tc>
        <w:tc>
          <w:tcPr>
            <w:tcW w:w="1619" w:type="dxa"/>
            <w:tcBorders>
              <w:top w:val="nil"/>
              <w:bottom w:val="nil"/>
            </w:tcBorders>
            <w:vAlign w:val="center"/>
          </w:tcPr>
          <w:p w:rsidR="005D44C4" w:rsidRPr="00693D10" w:rsidRDefault="009674D4" w:rsidP="009D354E">
            <w:pPr>
              <w:pStyle w:val="BodyChar"/>
              <w:jc w:val="center"/>
              <w:rPr>
                <w:rFonts w:ascii="Times New Roman" w:hAnsi="Times New Roman"/>
                <w:i/>
              </w:rPr>
            </w:pPr>
            <w:r w:rsidRPr="00693D10">
              <w:rPr>
                <w:rFonts w:ascii="Times New Roman" w:hAnsi="Times New Roman"/>
                <w:i/>
              </w:rPr>
              <w:t>T</w:t>
            </w:r>
          </w:p>
        </w:tc>
      </w:tr>
      <w:tr w:rsidR="001017CD" w:rsidRPr="00693D10" w:rsidTr="001017CD">
        <w:tc>
          <w:tcPr>
            <w:tcW w:w="1818" w:type="dxa"/>
            <w:tcBorders>
              <w:top w:val="nil"/>
              <w:bottom w:val="nil"/>
            </w:tcBorders>
            <w:vAlign w:val="center"/>
          </w:tcPr>
          <w:p w:rsidR="005D44C4" w:rsidRPr="00693D10" w:rsidRDefault="00C44E7A" w:rsidP="009D354E">
            <w:pPr>
              <w:pStyle w:val="BodyChar"/>
              <w:jc w:val="center"/>
              <w:rPr>
                <w:rFonts w:ascii="Times New Roman" w:hAnsi="Times New Roman"/>
                <w:i/>
              </w:rPr>
            </w:pPr>
            <w:r w:rsidRPr="00693D10">
              <w:rPr>
                <w:rFonts w:ascii="Times New Roman" w:hAnsi="Times New Roman"/>
                <w:i/>
              </w:rPr>
              <w:t>v</w:t>
            </w:r>
          </w:p>
        </w:tc>
        <w:tc>
          <w:tcPr>
            <w:tcW w:w="1980" w:type="dxa"/>
            <w:tcBorders>
              <w:top w:val="nil"/>
              <w:bottom w:val="nil"/>
            </w:tcBorders>
            <w:vAlign w:val="center"/>
          </w:tcPr>
          <w:p w:rsidR="005D44C4" w:rsidRPr="00693D10" w:rsidRDefault="00C44E7A" w:rsidP="009D354E">
            <w:pPr>
              <w:pStyle w:val="BodyChar"/>
              <w:jc w:val="center"/>
              <w:rPr>
                <w:rFonts w:ascii="Times New Roman" w:hAnsi="Times New Roman"/>
                <w:i/>
              </w:rPr>
            </w:pPr>
            <w:r w:rsidRPr="00693D10">
              <w:rPr>
                <w:rFonts w:ascii="Times New Roman" w:hAnsi="Times New Roman"/>
                <w:i/>
              </w:rPr>
              <w:t>Volume</w:t>
            </w:r>
          </w:p>
        </w:tc>
        <w:tc>
          <w:tcPr>
            <w:tcW w:w="3870" w:type="dxa"/>
            <w:tcBorders>
              <w:top w:val="nil"/>
              <w:bottom w:val="nil"/>
            </w:tcBorders>
            <w:vAlign w:val="center"/>
          </w:tcPr>
          <w:p w:rsidR="005D44C4" w:rsidRPr="00693D10" w:rsidRDefault="00C44E7A" w:rsidP="009D354E">
            <w:pPr>
              <w:pStyle w:val="BodyChar"/>
              <w:jc w:val="center"/>
              <w:rPr>
                <w:rFonts w:ascii="Times New Roman" w:hAnsi="Times New Roman"/>
                <w:i/>
              </w:rPr>
            </w:pPr>
            <w:r w:rsidRPr="00693D10">
              <w:rPr>
                <w:rFonts w:ascii="Times New Roman" w:hAnsi="Times New Roman"/>
                <w:i/>
              </w:rPr>
              <w:t>v = Volume</w:t>
            </w:r>
          </w:p>
        </w:tc>
        <w:tc>
          <w:tcPr>
            <w:tcW w:w="1619" w:type="dxa"/>
            <w:tcBorders>
              <w:top w:val="nil"/>
              <w:bottom w:val="nil"/>
            </w:tcBorders>
            <w:vAlign w:val="center"/>
          </w:tcPr>
          <w:p w:rsidR="005D44C4" w:rsidRPr="00693D10" w:rsidRDefault="00C44E7A" w:rsidP="009D354E">
            <w:pPr>
              <w:pStyle w:val="BodyChar"/>
              <w:jc w:val="center"/>
              <w:rPr>
                <w:rFonts w:ascii="Times New Roman" w:hAnsi="Times New Roman"/>
                <w:i/>
              </w:rPr>
            </w:pPr>
            <w:r w:rsidRPr="00693D10">
              <w:rPr>
                <w:rFonts w:ascii="Times New Roman" w:hAnsi="Times New Roman"/>
                <w:i/>
              </w:rPr>
              <w:t>v</w:t>
            </w:r>
          </w:p>
        </w:tc>
      </w:tr>
      <w:tr w:rsidR="001017CD" w:rsidRPr="00693D10" w:rsidTr="001017CD">
        <w:tc>
          <w:tcPr>
            <w:tcW w:w="1818" w:type="dxa"/>
            <w:tcBorders>
              <w:top w:val="nil"/>
              <w:bottom w:val="nil"/>
            </w:tcBorders>
            <w:vAlign w:val="center"/>
          </w:tcPr>
          <w:p w:rsidR="005D44C4" w:rsidRPr="00693D10" w:rsidRDefault="00687E67" w:rsidP="009D354E">
            <w:pPr>
              <w:pStyle w:val="BodyChar"/>
              <w:jc w:val="center"/>
              <w:rPr>
                <w:rFonts w:ascii="Times New Roman" w:hAnsi="Times New Roman"/>
                <w:i/>
              </w:rPr>
            </w:pPr>
            <w:r w:rsidRPr="00693D10">
              <w:rPr>
                <w:rFonts w:ascii="Times New Roman" w:hAnsi="Times New Roman"/>
                <w:i/>
              </w:rPr>
              <w:t>MB</w:t>
            </w:r>
            <w:r w:rsidRPr="00693D10">
              <w:rPr>
                <w:rFonts w:ascii="Times New Roman" w:hAnsi="Times New Roman"/>
                <w:i/>
                <w:vertAlign w:val="subscript"/>
              </w:rPr>
              <w:t>1</w:t>
            </w:r>
          </w:p>
        </w:tc>
        <w:tc>
          <w:tcPr>
            <w:tcW w:w="1980" w:type="dxa"/>
            <w:tcBorders>
              <w:top w:val="nil"/>
              <w:bottom w:val="nil"/>
            </w:tcBorders>
            <w:vAlign w:val="center"/>
          </w:tcPr>
          <w:p w:rsidR="00393640" w:rsidRPr="00693D10" w:rsidRDefault="00393640" w:rsidP="00393640">
            <w:pPr>
              <w:pStyle w:val="BodyChar"/>
              <w:jc w:val="center"/>
              <w:rPr>
                <w:rFonts w:ascii="Times New Roman" w:hAnsi="Times New Roman"/>
                <w:i/>
              </w:rPr>
            </w:pPr>
            <w:r w:rsidRPr="00693D10">
              <w:rPr>
                <w:rFonts w:ascii="Times New Roman" w:hAnsi="Times New Roman"/>
                <w:i/>
              </w:rPr>
              <w:t xml:space="preserve">π, N, m, k, </w:t>
            </w:r>
            <w:r w:rsidRPr="00693D10">
              <w:rPr>
                <w:rFonts w:ascii="Times New Roman" w:hAnsi="Times New Roman"/>
              </w:rPr>
              <w:t>and</w:t>
            </w:r>
            <w:r w:rsidRPr="00693D10">
              <w:rPr>
                <w:rFonts w:ascii="Times New Roman" w:hAnsi="Times New Roman"/>
                <w:i/>
              </w:rPr>
              <w:t xml:space="preserve"> T</w:t>
            </w:r>
          </w:p>
        </w:tc>
        <w:tc>
          <w:tcPr>
            <w:tcW w:w="3870" w:type="dxa"/>
            <w:tcBorders>
              <w:top w:val="nil"/>
              <w:bottom w:val="nil"/>
            </w:tcBorders>
            <w:vAlign w:val="center"/>
          </w:tcPr>
          <w:p w:rsidR="005D44C4" w:rsidRPr="00693D10" w:rsidRDefault="00D2652E" w:rsidP="009D354E">
            <w:pPr>
              <w:pStyle w:val="BodyChar"/>
              <w:jc w:val="center"/>
              <w:rPr>
                <w:rFonts w:ascii="Times New Roman" w:hAnsi="Times New Roman"/>
                <w:i/>
              </w:rPr>
            </w:pPr>
            <w:r w:rsidRPr="00693D10">
              <w:rPr>
                <w:rFonts w:ascii="Times New Roman" w:hAnsi="Times New Roman"/>
                <w:position w:val="-28"/>
              </w:rPr>
              <w:object w:dxaOrig="2180" w:dyaOrig="740">
                <v:shape id="_x0000_i1026" type="#_x0000_t75" style="width:109.5pt;height:36.75pt" o:ole="">
                  <v:imagedata r:id="rId11" o:title=""/>
                </v:shape>
                <o:OLEObject Type="Embed" ProgID="Equation.3" ShapeID="_x0000_i1026" DrawAspect="Content" ObjectID="_1627991166" r:id="rId12"/>
              </w:object>
            </w:r>
          </w:p>
        </w:tc>
        <w:tc>
          <w:tcPr>
            <w:tcW w:w="1619" w:type="dxa"/>
            <w:tcBorders>
              <w:top w:val="nil"/>
              <w:bottom w:val="nil"/>
            </w:tcBorders>
            <w:vAlign w:val="center"/>
          </w:tcPr>
          <w:p w:rsidR="005D44C4" w:rsidRPr="00693D10" w:rsidRDefault="00687E67" w:rsidP="009D354E">
            <w:pPr>
              <w:pStyle w:val="BodyChar"/>
              <w:jc w:val="center"/>
              <w:rPr>
                <w:rFonts w:ascii="Times New Roman" w:hAnsi="Times New Roman"/>
                <w:i/>
              </w:rPr>
            </w:pPr>
            <w:r w:rsidRPr="00693D10">
              <w:rPr>
                <w:rFonts w:ascii="Times New Roman" w:hAnsi="Times New Roman"/>
                <w:i/>
              </w:rPr>
              <w:t>MB</w:t>
            </w:r>
            <w:r w:rsidRPr="00693D10">
              <w:rPr>
                <w:rFonts w:ascii="Times New Roman" w:hAnsi="Times New Roman"/>
                <w:i/>
                <w:vertAlign w:val="subscript"/>
              </w:rPr>
              <w:t>1</w:t>
            </w:r>
          </w:p>
        </w:tc>
      </w:tr>
      <w:tr w:rsidR="001017CD" w:rsidRPr="00693D10" w:rsidTr="001017CD">
        <w:tc>
          <w:tcPr>
            <w:tcW w:w="1818" w:type="dxa"/>
            <w:tcBorders>
              <w:top w:val="nil"/>
              <w:bottom w:val="nil"/>
            </w:tcBorders>
            <w:vAlign w:val="center"/>
          </w:tcPr>
          <w:p w:rsidR="005D44C4" w:rsidRPr="00693D10" w:rsidRDefault="00687E67" w:rsidP="009D354E">
            <w:pPr>
              <w:pStyle w:val="BodyChar"/>
              <w:jc w:val="center"/>
              <w:rPr>
                <w:rFonts w:ascii="Times New Roman" w:hAnsi="Times New Roman"/>
                <w:i/>
              </w:rPr>
            </w:pPr>
            <w:r w:rsidRPr="00693D10">
              <w:rPr>
                <w:rFonts w:ascii="Times New Roman" w:hAnsi="Times New Roman"/>
                <w:i/>
              </w:rPr>
              <w:t>MB</w:t>
            </w:r>
            <w:r w:rsidRPr="00693D10">
              <w:rPr>
                <w:rFonts w:ascii="Times New Roman" w:hAnsi="Times New Roman"/>
                <w:i/>
                <w:vertAlign w:val="subscript"/>
              </w:rPr>
              <w:t>2</w:t>
            </w:r>
          </w:p>
        </w:tc>
        <w:tc>
          <w:tcPr>
            <w:tcW w:w="1980" w:type="dxa"/>
            <w:tcBorders>
              <w:top w:val="nil"/>
              <w:bottom w:val="nil"/>
            </w:tcBorders>
            <w:vAlign w:val="center"/>
          </w:tcPr>
          <w:p w:rsidR="005D44C4" w:rsidRPr="00693D10" w:rsidRDefault="00532B84" w:rsidP="00532B84">
            <w:pPr>
              <w:pStyle w:val="BodyChar"/>
              <w:jc w:val="center"/>
              <w:rPr>
                <w:rFonts w:ascii="Times New Roman" w:hAnsi="Times New Roman"/>
              </w:rPr>
            </w:pPr>
            <w:r w:rsidRPr="00693D10">
              <w:rPr>
                <w:rFonts w:ascii="Times New Roman" w:hAnsi="Times New Roman"/>
                <w:i/>
              </w:rPr>
              <w:t xml:space="preserve">m, v, k, </w:t>
            </w:r>
            <w:r w:rsidRPr="00693D10">
              <w:rPr>
                <w:rFonts w:ascii="Times New Roman" w:hAnsi="Times New Roman"/>
              </w:rPr>
              <w:t>and</w:t>
            </w:r>
            <w:r w:rsidRPr="00693D10">
              <w:rPr>
                <w:rFonts w:ascii="Times New Roman" w:hAnsi="Times New Roman"/>
                <w:i/>
              </w:rPr>
              <w:t xml:space="preserve"> T</w:t>
            </w:r>
          </w:p>
        </w:tc>
        <w:tc>
          <w:tcPr>
            <w:tcW w:w="3870" w:type="dxa"/>
            <w:tcBorders>
              <w:top w:val="nil"/>
              <w:bottom w:val="nil"/>
            </w:tcBorders>
            <w:vAlign w:val="center"/>
          </w:tcPr>
          <w:p w:rsidR="005D44C4" w:rsidRPr="00693D10" w:rsidRDefault="00477201" w:rsidP="009D354E">
            <w:pPr>
              <w:pStyle w:val="BodyChar"/>
              <w:jc w:val="center"/>
              <w:rPr>
                <w:rFonts w:ascii="Times New Roman" w:hAnsi="Times New Roman"/>
                <w:i/>
              </w:rPr>
            </w:pPr>
            <w:r w:rsidRPr="00693D10">
              <w:rPr>
                <w:rFonts w:ascii="Times New Roman" w:hAnsi="Times New Roman"/>
                <w:position w:val="-32"/>
              </w:rPr>
              <w:object w:dxaOrig="2160" w:dyaOrig="760">
                <v:shape id="_x0000_i1027" type="#_x0000_t75" style="width:108pt;height:37.5pt" o:ole="">
                  <v:imagedata r:id="rId13" o:title=""/>
                </v:shape>
                <o:OLEObject Type="Embed" ProgID="Equation.3" ShapeID="_x0000_i1027" DrawAspect="Content" ObjectID="_1627991167" r:id="rId14"/>
              </w:object>
            </w:r>
          </w:p>
        </w:tc>
        <w:tc>
          <w:tcPr>
            <w:tcW w:w="1619" w:type="dxa"/>
            <w:tcBorders>
              <w:top w:val="nil"/>
              <w:bottom w:val="nil"/>
            </w:tcBorders>
            <w:vAlign w:val="center"/>
          </w:tcPr>
          <w:p w:rsidR="005D44C4" w:rsidRPr="00693D10" w:rsidRDefault="00687E67" w:rsidP="009D354E">
            <w:pPr>
              <w:pStyle w:val="BodyChar"/>
              <w:jc w:val="center"/>
              <w:rPr>
                <w:rFonts w:ascii="Times New Roman" w:hAnsi="Times New Roman"/>
                <w:i/>
              </w:rPr>
            </w:pPr>
            <w:r w:rsidRPr="00693D10">
              <w:rPr>
                <w:rFonts w:ascii="Times New Roman" w:hAnsi="Times New Roman"/>
                <w:i/>
              </w:rPr>
              <w:t>MB</w:t>
            </w:r>
            <w:r w:rsidRPr="00693D10">
              <w:rPr>
                <w:rFonts w:ascii="Times New Roman" w:hAnsi="Times New Roman"/>
                <w:i/>
                <w:vertAlign w:val="subscript"/>
              </w:rPr>
              <w:t>2</w:t>
            </w:r>
          </w:p>
        </w:tc>
      </w:tr>
      <w:tr w:rsidR="001017CD" w:rsidRPr="00693D10" w:rsidTr="001017CD">
        <w:tc>
          <w:tcPr>
            <w:tcW w:w="1818" w:type="dxa"/>
            <w:tcBorders>
              <w:top w:val="nil"/>
              <w:bottom w:val="nil"/>
            </w:tcBorders>
          </w:tcPr>
          <w:p w:rsidR="005D44C4" w:rsidRPr="00693D10" w:rsidRDefault="00591C26" w:rsidP="005A6D09">
            <w:pPr>
              <w:pStyle w:val="BodyChar"/>
              <w:jc w:val="center"/>
              <w:rPr>
                <w:rFonts w:ascii="Times New Roman" w:hAnsi="Times New Roman"/>
                <w:i/>
              </w:rPr>
            </w:pPr>
            <w:r w:rsidRPr="00693D10">
              <w:rPr>
                <w:rFonts w:ascii="Times New Roman" w:hAnsi="Times New Roman"/>
                <w:i/>
              </w:rPr>
              <w:t>MB</w:t>
            </w:r>
          </w:p>
        </w:tc>
        <w:tc>
          <w:tcPr>
            <w:tcW w:w="1980" w:type="dxa"/>
            <w:tcBorders>
              <w:top w:val="nil"/>
              <w:bottom w:val="nil"/>
            </w:tcBorders>
          </w:tcPr>
          <w:p w:rsidR="005D44C4" w:rsidRPr="00693D10" w:rsidRDefault="00591C26" w:rsidP="005A6D09">
            <w:pPr>
              <w:pStyle w:val="BodyChar"/>
              <w:jc w:val="center"/>
              <w:rPr>
                <w:rFonts w:ascii="Times New Roman" w:hAnsi="Times New Roman"/>
              </w:rPr>
            </w:pPr>
            <w:r w:rsidRPr="00693D10">
              <w:rPr>
                <w:rFonts w:ascii="Times New Roman" w:hAnsi="Times New Roman"/>
                <w:i/>
              </w:rPr>
              <w:t>MB</w:t>
            </w:r>
            <w:r w:rsidRPr="00693D10">
              <w:rPr>
                <w:rFonts w:ascii="Times New Roman" w:hAnsi="Times New Roman"/>
                <w:i/>
                <w:vertAlign w:val="subscript"/>
              </w:rPr>
              <w:t>1</w:t>
            </w:r>
            <w:r w:rsidRPr="00693D10">
              <w:rPr>
                <w:rFonts w:ascii="Times New Roman" w:hAnsi="Times New Roman"/>
              </w:rPr>
              <w:t xml:space="preserve"> and </w:t>
            </w:r>
            <w:r w:rsidRPr="00693D10">
              <w:rPr>
                <w:rFonts w:ascii="Times New Roman" w:hAnsi="Times New Roman"/>
                <w:i/>
              </w:rPr>
              <w:t>MB</w:t>
            </w:r>
            <w:r w:rsidRPr="00693D10">
              <w:rPr>
                <w:rFonts w:ascii="Times New Roman" w:hAnsi="Times New Roman"/>
                <w:i/>
                <w:vertAlign w:val="subscript"/>
              </w:rPr>
              <w:t>2</w:t>
            </w:r>
          </w:p>
        </w:tc>
        <w:tc>
          <w:tcPr>
            <w:tcW w:w="3870" w:type="dxa"/>
            <w:tcBorders>
              <w:top w:val="nil"/>
              <w:bottom w:val="nil"/>
            </w:tcBorders>
          </w:tcPr>
          <w:p w:rsidR="005D44C4" w:rsidRPr="00693D10" w:rsidRDefault="00346164" w:rsidP="00346164">
            <w:pPr>
              <w:pStyle w:val="BodyChar"/>
              <w:jc w:val="center"/>
              <w:rPr>
                <w:rFonts w:ascii="Times New Roman" w:hAnsi="Times New Roman"/>
                <w:i/>
              </w:rPr>
            </w:pPr>
            <w:r w:rsidRPr="00693D10">
              <w:rPr>
                <w:rFonts w:ascii="Times New Roman" w:hAnsi="Times New Roman"/>
                <w:i/>
              </w:rPr>
              <w:t>MB = MB</w:t>
            </w:r>
            <w:r w:rsidRPr="00693D10">
              <w:rPr>
                <w:rFonts w:ascii="Times New Roman" w:hAnsi="Times New Roman"/>
                <w:i/>
                <w:vertAlign w:val="subscript"/>
              </w:rPr>
              <w:t>1</w:t>
            </w:r>
            <w:r w:rsidRPr="00693D10">
              <w:rPr>
                <w:rFonts w:ascii="Times New Roman" w:hAnsi="Times New Roman"/>
              </w:rPr>
              <w:t xml:space="preserve"> × </w:t>
            </w:r>
            <w:r w:rsidRPr="00693D10">
              <w:rPr>
                <w:rFonts w:ascii="Times New Roman" w:hAnsi="Times New Roman"/>
                <w:i/>
              </w:rPr>
              <w:t>MB</w:t>
            </w:r>
            <w:r w:rsidRPr="00693D10">
              <w:rPr>
                <w:rFonts w:ascii="Times New Roman" w:hAnsi="Times New Roman"/>
                <w:i/>
                <w:vertAlign w:val="subscript"/>
              </w:rPr>
              <w:t>2</w:t>
            </w:r>
          </w:p>
        </w:tc>
        <w:tc>
          <w:tcPr>
            <w:tcW w:w="1619" w:type="dxa"/>
            <w:tcBorders>
              <w:top w:val="nil"/>
              <w:bottom w:val="nil"/>
            </w:tcBorders>
          </w:tcPr>
          <w:p w:rsidR="005D44C4" w:rsidRPr="00693D10" w:rsidRDefault="00346164" w:rsidP="005A6D09">
            <w:pPr>
              <w:pStyle w:val="BodyChar"/>
              <w:jc w:val="center"/>
              <w:rPr>
                <w:rFonts w:ascii="Times New Roman" w:hAnsi="Times New Roman"/>
                <w:i/>
              </w:rPr>
            </w:pPr>
            <w:r w:rsidRPr="00693D10">
              <w:rPr>
                <w:rFonts w:ascii="Times New Roman" w:hAnsi="Times New Roman"/>
                <w:i/>
              </w:rPr>
              <w:t>MB</w:t>
            </w:r>
          </w:p>
        </w:tc>
      </w:tr>
      <w:tr w:rsidR="00346164" w:rsidRPr="00693D10" w:rsidTr="001017CD">
        <w:tc>
          <w:tcPr>
            <w:tcW w:w="1818" w:type="dxa"/>
            <w:tcBorders>
              <w:top w:val="nil"/>
              <w:bottom w:val="nil"/>
            </w:tcBorders>
            <w:vAlign w:val="center"/>
          </w:tcPr>
          <w:p w:rsidR="00346164" w:rsidRPr="00693D10" w:rsidRDefault="00780E33" w:rsidP="00704413">
            <w:pPr>
              <w:pStyle w:val="BodyChar"/>
              <w:jc w:val="center"/>
              <w:rPr>
                <w:rFonts w:ascii="Times New Roman" w:hAnsi="Times New Roman"/>
                <w:i/>
              </w:rPr>
            </w:pPr>
            <w:r w:rsidRPr="00693D10">
              <w:rPr>
                <w:rFonts w:ascii="Times New Roman" w:hAnsi="Times New Roman"/>
              </w:rPr>
              <w:t>Correction of</w:t>
            </w:r>
            <w:r w:rsidRPr="00693D10">
              <w:rPr>
                <w:rFonts w:ascii="Times New Roman" w:hAnsi="Times New Roman"/>
                <w:i/>
              </w:rPr>
              <w:t xml:space="preserve"> MB</w:t>
            </w:r>
          </w:p>
        </w:tc>
        <w:tc>
          <w:tcPr>
            <w:tcW w:w="1980" w:type="dxa"/>
            <w:tcBorders>
              <w:top w:val="nil"/>
              <w:bottom w:val="nil"/>
            </w:tcBorders>
            <w:vAlign w:val="center"/>
          </w:tcPr>
          <w:p w:rsidR="00346164" w:rsidRPr="00693D10" w:rsidRDefault="00780E33" w:rsidP="00704413">
            <w:pPr>
              <w:pStyle w:val="BodyChar"/>
              <w:jc w:val="center"/>
              <w:rPr>
                <w:rFonts w:ascii="Times New Roman" w:hAnsi="Times New Roman"/>
                <w:i/>
              </w:rPr>
            </w:pPr>
            <w:r w:rsidRPr="00693D10">
              <w:rPr>
                <w:rFonts w:ascii="Times New Roman" w:hAnsi="Times New Roman"/>
                <w:i/>
              </w:rPr>
              <w:t>MB</w:t>
            </w:r>
          </w:p>
        </w:tc>
        <w:tc>
          <w:tcPr>
            <w:tcW w:w="3870" w:type="dxa"/>
            <w:tcBorders>
              <w:top w:val="nil"/>
              <w:bottom w:val="nil"/>
            </w:tcBorders>
            <w:vAlign w:val="center"/>
          </w:tcPr>
          <w:p w:rsidR="00346164" w:rsidRPr="00693D10" w:rsidRDefault="003E7BDD" w:rsidP="00704413">
            <w:pPr>
              <w:pStyle w:val="BodyChar"/>
              <w:jc w:val="center"/>
              <w:rPr>
                <w:rFonts w:ascii="Times New Roman" w:hAnsi="Times New Roman"/>
                <w:i/>
              </w:rPr>
            </w:pPr>
            <w:r w:rsidRPr="00693D10">
              <w:rPr>
                <w:rFonts w:ascii="Times New Roman" w:hAnsi="Times New Roman"/>
                <w:position w:val="-24"/>
              </w:rPr>
              <w:object w:dxaOrig="1920" w:dyaOrig="620">
                <v:shape id="_x0000_i1028" type="#_x0000_t75" style="width:96pt;height:30.75pt" o:ole="">
                  <v:imagedata r:id="rId15" o:title=""/>
                </v:shape>
                <o:OLEObject Type="Embed" ProgID="Equation.3" ShapeID="_x0000_i1028" DrawAspect="Content" ObjectID="_1627991168" r:id="rId16"/>
              </w:object>
            </w:r>
          </w:p>
        </w:tc>
        <w:tc>
          <w:tcPr>
            <w:tcW w:w="1619" w:type="dxa"/>
            <w:tcBorders>
              <w:top w:val="nil"/>
              <w:bottom w:val="nil"/>
            </w:tcBorders>
            <w:vAlign w:val="center"/>
          </w:tcPr>
          <w:p w:rsidR="00346164" w:rsidRPr="00693D10" w:rsidRDefault="003E7BDD" w:rsidP="00704413">
            <w:pPr>
              <w:pStyle w:val="BodyChar"/>
              <w:jc w:val="center"/>
              <w:rPr>
                <w:rFonts w:ascii="Times New Roman" w:hAnsi="Times New Roman"/>
              </w:rPr>
            </w:pPr>
            <w:r w:rsidRPr="00693D10">
              <w:rPr>
                <w:rFonts w:ascii="Times New Roman" w:hAnsi="Times New Roman"/>
              </w:rPr>
              <w:t xml:space="preserve">Corr. of </w:t>
            </w:r>
            <w:r w:rsidRPr="00693D10">
              <w:rPr>
                <w:rFonts w:ascii="Times New Roman" w:hAnsi="Times New Roman"/>
                <w:i/>
              </w:rPr>
              <w:t>MB</w:t>
            </w:r>
          </w:p>
        </w:tc>
      </w:tr>
      <w:tr w:rsidR="003E7BDD" w:rsidRPr="00693D10" w:rsidTr="001017CD">
        <w:tc>
          <w:tcPr>
            <w:tcW w:w="1818" w:type="dxa"/>
            <w:tcBorders>
              <w:top w:val="nil"/>
              <w:bottom w:val="nil"/>
            </w:tcBorders>
            <w:vAlign w:val="center"/>
          </w:tcPr>
          <w:p w:rsidR="003E7BDD" w:rsidRPr="00693D10" w:rsidRDefault="003E7BDD" w:rsidP="00704413">
            <w:pPr>
              <w:pStyle w:val="BodyChar"/>
              <w:jc w:val="center"/>
              <w:rPr>
                <w:rFonts w:ascii="Times New Roman" w:hAnsi="Times New Roman"/>
              </w:rPr>
            </w:pPr>
            <w:r w:rsidRPr="00693D10">
              <w:rPr>
                <w:rFonts w:ascii="Times New Roman" w:hAnsi="Times New Roman"/>
                <w:i/>
              </w:rPr>
              <w:t>MB</w:t>
            </w:r>
            <w:r w:rsidRPr="00693D10">
              <w:rPr>
                <w:rFonts w:ascii="Times New Roman" w:hAnsi="Times New Roman"/>
              </w:rPr>
              <w:t xml:space="preserve"> Level</w:t>
            </w:r>
          </w:p>
        </w:tc>
        <w:tc>
          <w:tcPr>
            <w:tcW w:w="1980" w:type="dxa"/>
            <w:tcBorders>
              <w:top w:val="nil"/>
              <w:bottom w:val="nil"/>
            </w:tcBorders>
            <w:vAlign w:val="center"/>
          </w:tcPr>
          <w:p w:rsidR="003E7BDD" w:rsidRPr="00693D10" w:rsidRDefault="003E7BDD" w:rsidP="00704413">
            <w:pPr>
              <w:pStyle w:val="BodyChar"/>
              <w:jc w:val="center"/>
              <w:rPr>
                <w:rFonts w:ascii="Times New Roman" w:hAnsi="Times New Roman"/>
                <w:i/>
              </w:rPr>
            </w:pPr>
            <w:r w:rsidRPr="00693D10">
              <w:rPr>
                <w:rFonts w:ascii="Times New Roman" w:hAnsi="Times New Roman"/>
              </w:rPr>
              <w:t xml:space="preserve">Corr. of </w:t>
            </w:r>
            <w:r w:rsidRPr="00693D10">
              <w:rPr>
                <w:rFonts w:ascii="Times New Roman" w:hAnsi="Times New Roman"/>
                <w:i/>
              </w:rPr>
              <w:t>MB</w:t>
            </w:r>
          </w:p>
        </w:tc>
        <w:tc>
          <w:tcPr>
            <w:tcW w:w="3870" w:type="dxa"/>
            <w:tcBorders>
              <w:top w:val="nil"/>
              <w:bottom w:val="nil"/>
            </w:tcBorders>
            <w:vAlign w:val="center"/>
          </w:tcPr>
          <w:p w:rsidR="003E7BDD" w:rsidRPr="00693D10" w:rsidRDefault="00C95AD0" w:rsidP="00C95AD0">
            <w:pPr>
              <w:pStyle w:val="BodyChar"/>
              <w:jc w:val="center"/>
              <w:rPr>
                <w:rFonts w:ascii="Times New Roman" w:hAnsi="Times New Roman"/>
              </w:rPr>
            </w:pPr>
            <w:r w:rsidRPr="00693D10">
              <w:rPr>
                <w:rFonts w:ascii="Times New Roman" w:hAnsi="Times New Roman"/>
                <w:i/>
              </w:rPr>
              <w:t>MB</w:t>
            </w:r>
            <w:r w:rsidRPr="00693D10">
              <w:rPr>
                <w:rFonts w:ascii="Times New Roman" w:hAnsi="Times New Roman"/>
              </w:rPr>
              <w:t xml:space="preserve"> Level = IF((Corr. of </w:t>
            </w:r>
            <w:r w:rsidRPr="00693D10">
              <w:rPr>
                <w:rFonts w:ascii="Times New Roman" w:hAnsi="Times New Roman"/>
                <w:i/>
              </w:rPr>
              <w:t>MB</w:t>
            </w:r>
            <w:r w:rsidRPr="00693D10">
              <w:rPr>
                <w:rFonts w:ascii="Times New Roman" w:hAnsi="Times New Roman"/>
              </w:rPr>
              <w:t xml:space="preserve">)&lt;10,(Corr. of </w:t>
            </w:r>
            <w:r w:rsidRPr="00693D10">
              <w:rPr>
                <w:rFonts w:ascii="Times New Roman" w:hAnsi="Times New Roman"/>
                <w:i/>
              </w:rPr>
              <w:t>MB</w:t>
            </w:r>
            <w:r w:rsidRPr="00693D10">
              <w:rPr>
                <w:rFonts w:ascii="Times New Roman" w:hAnsi="Times New Roman"/>
              </w:rPr>
              <w:t>),10)</w:t>
            </w:r>
          </w:p>
        </w:tc>
        <w:tc>
          <w:tcPr>
            <w:tcW w:w="1619" w:type="dxa"/>
            <w:tcBorders>
              <w:top w:val="nil"/>
              <w:bottom w:val="nil"/>
            </w:tcBorders>
            <w:vAlign w:val="center"/>
          </w:tcPr>
          <w:p w:rsidR="003E7BDD" w:rsidRPr="00693D10" w:rsidRDefault="003E7BDD" w:rsidP="00704413">
            <w:pPr>
              <w:pStyle w:val="BodyChar"/>
              <w:jc w:val="center"/>
              <w:rPr>
                <w:rFonts w:ascii="Times New Roman" w:hAnsi="Times New Roman"/>
              </w:rPr>
            </w:pPr>
            <w:r w:rsidRPr="00693D10">
              <w:rPr>
                <w:rFonts w:ascii="Times New Roman" w:hAnsi="Times New Roman"/>
                <w:i/>
              </w:rPr>
              <w:t>MB</w:t>
            </w:r>
            <w:r w:rsidRPr="00693D10">
              <w:rPr>
                <w:rFonts w:ascii="Times New Roman" w:hAnsi="Times New Roman"/>
              </w:rPr>
              <w:t xml:space="preserve"> Level</w:t>
            </w:r>
          </w:p>
        </w:tc>
      </w:tr>
      <w:tr w:rsidR="003E7BDD" w:rsidRPr="00693D10" w:rsidTr="001017CD">
        <w:tc>
          <w:tcPr>
            <w:tcW w:w="1818" w:type="dxa"/>
            <w:tcBorders>
              <w:top w:val="nil"/>
            </w:tcBorders>
            <w:vAlign w:val="center"/>
          </w:tcPr>
          <w:p w:rsidR="003E7BDD" w:rsidRPr="00693D10" w:rsidRDefault="00422324" w:rsidP="00704413">
            <w:pPr>
              <w:pStyle w:val="BodyChar"/>
              <w:jc w:val="center"/>
              <w:rPr>
                <w:rFonts w:ascii="Times New Roman" w:hAnsi="Times New Roman"/>
              </w:rPr>
            </w:pPr>
            <w:r w:rsidRPr="00693D10">
              <w:rPr>
                <w:rFonts w:ascii="Times New Roman" w:hAnsi="Times New Roman"/>
              </w:rPr>
              <w:t>Raffasya Level</w:t>
            </w:r>
          </w:p>
        </w:tc>
        <w:tc>
          <w:tcPr>
            <w:tcW w:w="1980" w:type="dxa"/>
            <w:tcBorders>
              <w:top w:val="nil"/>
            </w:tcBorders>
            <w:vAlign w:val="center"/>
          </w:tcPr>
          <w:p w:rsidR="003E7BDD" w:rsidRPr="00693D10" w:rsidRDefault="007F37BF" w:rsidP="00704413">
            <w:pPr>
              <w:pStyle w:val="BodyChar"/>
              <w:jc w:val="center"/>
              <w:rPr>
                <w:rFonts w:ascii="Times New Roman" w:hAnsi="Times New Roman"/>
              </w:rPr>
            </w:pPr>
            <w:r w:rsidRPr="00693D10">
              <w:rPr>
                <w:rFonts w:ascii="Times New Roman" w:hAnsi="Times New Roman"/>
                <w:i/>
              </w:rPr>
              <w:t>MB</w:t>
            </w:r>
            <w:r w:rsidRPr="00693D10">
              <w:rPr>
                <w:rFonts w:ascii="Times New Roman" w:hAnsi="Times New Roman"/>
              </w:rPr>
              <w:t xml:space="preserve"> Level</w:t>
            </w:r>
          </w:p>
        </w:tc>
        <w:tc>
          <w:tcPr>
            <w:tcW w:w="3870" w:type="dxa"/>
            <w:tcBorders>
              <w:top w:val="nil"/>
            </w:tcBorders>
            <w:vAlign w:val="center"/>
          </w:tcPr>
          <w:p w:rsidR="003E7BDD" w:rsidRPr="00693D10" w:rsidRDefault="007F37BF" w:rsidP="00704413">
            <w:pPr>
              <w:pStyle w:val="BodyChar"/>
              <w:jc w:val="center"/>
              <w:rPr>
                <w:rFonts w:ascii="Times New Roman" w:hAnsi="Times New Roman"/>
              </w:rPr>
            </w:pPr>
            <w:r w:rsidRPr="00693D10">
              <w:rPr>
                <w:rFonts w:ascii="Times New Roman" w:hAnsi="Times New Roman"/>
              </w:rPr>
              <w:t xml:space="preserve">Raffasya Level = 10 – </w:t>
            </w:r>
            <w:r w:rsidRPr="00693D10">
              <w:rPr>
                <w:rFonts w:ascii="Times New Roman" w:hAnsi="Times New Roman"/>
                <w:i/>
              </w:rPr>
              <w:t>MB</w:t>
            </w:r>
            <w:r w:rsidRPr="00693D10">
              <w:rPr>
                <w:rFonts w:ascii="Times New Roman" w:hAnsi="Times New Roman"/>
              </w:rPr>
              <w:t xml:space="preserve"> Level</w:t>
            </w:r>
          </w:p>
        </w:tc>
        <w:tc>
          <w:tcPr>
            <w:tcW w:w="1619" w:type="dxa"/>
            <w:tcBorders>
              <w:top w:val="nil"/>
            </w:tcBorders>
            <w:vAlign w:val="center"/>
          </w:tcPr>
          <w:p w:rsidR="003E7BDD" w:rsidRPr="00693D10" w:rsidRDefault="008D0B19" w:rsidP="00704413">
            <w:pPr>
              <w:pStyle w:val="BodyChar"/>
              <w:jc w:val="center"/>
              <w:rPr>
                <w:rFonts w:ascii="Times New Roman" w:hAnsi="Times New Roman"/>
              </w:rPr>
            </w:pPr>
            <w:r w:rsidRPr="00693D10">
              <w:rPr>
                <w:rFonts w:ascii="Times New Roman" w:hAnsi="Times New Roman"/>
              </w:rPr>
              <w:t>Raffasya Level</w:t>
            </w:r>
          </w:p>
        </w:tc>
      </w:tr>
    </w:tbl>
    <w:p w:rsidR="00AF2F7F" w:rsidRPr="00693D10" w:rsidRDefault="00AF2F7F">
      <w:pPr>
        <w:pStyle w:val="BodyChar"/>
        <w:rPr>
          <w:rFonts w:ascii="Times New Roman" w:hAnsi="Times New Roman"/>
        </w:rPr>
      </w:pPr>
    </w:p>
    <w:p w:rsidR="00E15DA6" w:rsidRDefault="00AA4E98" w:rsidP="00AA4E98">
      <w:pPr>
        <w:pStyle w:val="BodyChar"/>
        <w:rPr>
          <w:rFonts w:ascii="Times New Roman" w:hAnsi="Times New Roman"/>
        </w:rPr>
      </w:pPr>
      <w:r>
        <w:rPr>
          <w:rFonts w:ascii="Times New Roman" w:hAnsi="Times New Roman"/>
        </w:rPr>
        <w:tab/>
      </w:r>
      <w:r w:rsidR="0060474D" w:rsidRPr="00693D10">
        <w:rPr>
          <w:rFonts w:ascii="Times New Roman" w:hAnsi="Times New Roman"/>
        </w:rPr>
        <w:t xml:space="preserve">Figure 3 (a) shows Maxwell-Boltzmann distribution convoluted with MACD (12,26,9) and RSI (14) at GBPUSD price TF 15 Minutes, there are three high peak volatility </w:t>
      </w:r>
      <w:r w:rsidR="0060474D" w:rsidRPr="00693D10">
        <w:rPr>
          <w:rFonts w:ascii="Times New Roman" w:hAnsi="Times New Roman"/>
          <w:i/>
        </w:rPr>
        <w:t>n(v)</w:t>
      </w:r>
      <w:r w:rsidR="0060474D" w:rsidRPr="00693D10">
        <w:rPr>
          <w:rFonts w:ascii="Times New Roman" w:hAnsi="Times New Roman"/>
        </w:rPr>
        <w:t xml:space="preserve"> on 03-11-2019, 03-12-2019, and 0</w:t>
      </w:r>
      <w:r w:rsidR="00E15DA6">
        <w:rPr>
          <w:rFonts w:ascii="Times New Roman" w:hAnsi="Times New Roman"/>
        </w:rPr>
        <w:t xml:space="preserve">3-14-2019. The spectrum model of </w:t>
      </w:r>
      <w:r w:rsidR="00E15DA6" w:rsidRPr="00E15DA6">
        <w:rPr>
          <w:rFonts w:ascii="Times New Roman" w:hAnsi="Times New Roman"/>
        </w:rPr>
        <w:t>Maxwell-Boltzmann convolutio</w:t>
      </w:r>
      <w:r w:rsidR="00A51605">
        <w:rPr>
          <w:rFonts w:ascii="Times New Roman" w:hAnsi="Times New Roman"/>
        </w:rPr>
        <w:t>n on MACD</w:t>
      </w:r>
      <w:r w:rsidR="00125540" w:rsidRPr="00693D10">
        <w:rPr>
          <w:rFonts w:ascii="Times New Roman" w:hAnsi="Times New Roman"/>
        </w:rPr>
        <w:t xml:space="preserve">(12,26,9) </w:t>
      </w:r>
      <w:r w:rsidR="00A51605">
        <w:rPr>
          <w:rFonts w:ascii="Times New Roman" w:hAnsi="Times New Roman"/>
        </w:rPr>
        <w:t xml:space="preserve"> and RSI</w:t>
      </w:r>
      <w:r w:rsidR="00125540">
        <w:rPr>
          <w:rFonts w:ascii="Times New Roman" w:hAnsi="Times New Roman"/>
        </w:rPr>
        <w:t>(14)</w:t>
      </w:r>
      <w:r w:rsidR="00A51605">
        <w:rPr>
          <w:rFonts w:ascii="Times New Roman" w:hAnsi="Times New Roman"/>
        </w:rPr>
        <w:t xml:space="preserve"> resembles the </w:t>
      </w:r>
      <w:r w:rsidR="00E15DA6" w:rsidRPr="00E15DA6">
        <w:rPr>
          <w:rFonts w:ascii="Times New Roman" w:hAnsi="Times New Roman"/>
        </w:rPr>
        <w:t>spectrum of plasma species N</w:t>
      </w:r>
      <w:r w:rsidR="00E15DA6" w:rsidRPr="00E15DA6">
        <w:rPr>
          <w:rFonts w:ascii="Times New Roman" w:hAnsi="Times New Roman"/>
          <w:vertAlign w:val="subscript"/>
        </w:rPr>
        <w:t>2</w:t>
      </w:r>
      <w:r w:rsidR="00E15DA6" w:rsidRPr="00E15DA6">
        <w:rPr>
          <w:rFonts w:ascii="Times New Roman" w:hAnsi="Times New Roman"/>
        </w:rPr>
        <w:t>-H</w:t>
      </w:r>
      <w:r w:rsidR="00E15DA6" w:rsidRPr="00E15DA6">
        <w:rPr>
          <w:rFonts w:ascii="Times New Roman" w:hAnsi="Times New Roman"/>
          <w:vertAlign w:val="subscript"/>
        </w:rPr>
        <w:t>2</w:t>
      </w:r>
      <w:r w:rsidR="00E15DA6" w:rsidRPr="00E15DA6">
        <w:rPr>
          <w:rFonts w:ascii="Times New Roman" w:hAnsi="Times New Roman"/>
        </w:rPr>
        <w:t xml:space="preserve"> in a previous study by Herdianto </w:t>
      </w:r>
      <w:r w:rsidR="00E15DA6" w:rsidRPr="00E15DA6">
        <w:rPr>
          <w:rFonts w:ascii="Times New Roman" w:hAnsi="Times New Roman"/>
          <w:i/>
        </w:rPr>
        <w:t>et al</w:t>
      </w:r>
      <w:r w:rsidR="00E15DA6">
        <w:rPr>
          <w:rFonts w:ascii="Times New Roman" w:hAnsi="Times New Roman"/>
        </w:rPr>
        <w:t xml:space="preserve"> [20]</w:t>
      </w:r>
      <w:r w:rsidR="00E15DA6" w:rsidRPr="00E15DA6">
        <w:rPr>
          <w:rFonts w:ascii="Times New Roman" w:hAnsi="Times New Roman"/>
        </w:rPr>
        <w:t>[21].</w:t>
      </w:r>
    </w:p>
    <w:p w:rsidR="00AA4E98" w:rsidRDefault="00E15DA6" w:rsidP="00AA4E98">
      <w:pPr>
        <w:pStyle w:val="BodyChar"/>
        <w:rPr>
          <w:rFonts w:ascii="Times New Roman" w:hAnsi="Times New Roman"/>
        </w:rPr>
      </w:pPr>
      <w:r>
        <w:rPr>
          <w:rFonts w:ascii="Times New Roman" w:hAnsi="Times New Roman"/>
        </w:rPr>
        <w:tab/>
      </w:r>
      <w:r w:rsidR="0060474D" w:rsidRPr="00693D10">
        <w:rPr>
          <w:rFonts w:ascii="Times New Roman" w:hAnsi="Times New Roman"/>
        </w:rPr>
        <w:t xml:space="preserve">MB level as </w:t>
      </w:r>
      <w:r w:rsidR="001811EA">
        <w:rPr>
          <w:rFonts w:ascii="Times New Roman" w:hAnsi="Times New Roman"/>
        </w:rPr>
        <w:t xml:space="preserve">a </w:t>
      </w:r>
      <w:r w:rsidR="0060474D" w:rsidRPr="00693D10">
        <w:rPr>
          <w:rFonts w:ascii="Times New Roman" w:hAnsi="Times New Roman"/>
        </w:rPr>
        <w:t>basis for making the spectrum of "Raffasya v.1.0" indicators is shown in Figure 3 (b). The spectrum of "Raffasya v.1.0" indicators is shown in Figure 3 (c) which explains the safe position when entering an investment marked with a white spectrum. The closing position is shown when the spectrum penetrates the middle level in consideration of an accurate closing price. Although the Brexit referendum has a high risk on the GBPUSD market, the spectrum of "Raffasya v.1.0" indicators can show the right and safe position for investment entry.</w:t>
      </w:r>
    </w:p>
    <w:p w:rsidR="00AA4E98" w:rsidRPr="00693D10" w:rsidRDefault="00AA4E98" w:rsidP="00AA4E98">
      <w:pPr>
        <w:pStyle w:val="BodyChar"/>
        <w:rPr>
          <w:rFonts w:ascii="Times New Roman" w:hAnsi="Times New Roman"/>
        </w:rPr>
      </w:pPr>
      <w:r>
        <w:rPr>
          <w:rFonts w:ascii="Times New Roman" w:hAnsi="Times New Roman"/>
        </w:rPr>
        <w:tab/>
      </w:r>
      <w:r w:rsidRPr="00693D10">
        <w:rPr>
          <w:rFonts w:ascii="Times New Roman" w:hAnsi="Times New Roman"/>
          <w:lang w:val="en-US"/>
        </w:rPr>
        <w:t xml:space="preserve">Fundamentally on March 7, 2019, the British Parliament voted on Brexit agreement which was postponed until March 30, 2019, resulting in positive sentiment (bullish). The spectrum of “Raffasya v.1.0” indicators show a bullish signal when the European session which is the same as MACD and RSI indicators. </w:t>
      </w:r>
      <w:r w:rsidRPr="00693D10">
        <w:rPr>
          <w:rFonts w:ascii="Times New Roman" w:hAnsi="Times New Roman"/>
        </w:rPr>
        <w:t>When the American session MACD and RSI indicators expressed a reversal trend but the spectrum of “Raffasya v.1.0” indicators remained optimistic about sustainability trend (see Figure 4). MACD and RSI indicators showed trend anomalies, but in fact, the trend continued until the American session closed with a net profit of 230 pips (23.00%) like as “Raffasya v.1.0” signal. Relative drawdown when applied the spectrum of “Raffasya v.1.0” indicators less than 2.00%.</w:t>
      </w:r>
    </w:p>
    <w:p w:rsidR="00AA4E98" w:rsidRPr="00693D10" w:rsidRDefault="00AA4E98">
      <w:pPr>
        <w:pStyle w:val="BodyChar"/>
        <w:rPr>
          <w:rFonts w:ascii="Times New Roman" w:hAnsi="Times New Roman"/>
        </w:rPr>
      </w:pPr>
    </w:p>
    <w:p w:rsidR="00815D80" w:rsidRPr="00693D10" w:rsidRDefault="00815D80">
      <w:pPr>
        <w:pStyle w:val="BodyChar"/>
        <w:rPr>
          <w:rFonts w:ascii="Times New Roman" w:hAnsi="Times New Roman"/>
        </w:rPr>
      </w:pPr>
    </w:p>
    <w:p w:rsidR="006E2E8A" w:rsidRPr="00693D10" w:rsidRDefault="00272FCF">
      <w:pPr>
        <w:pStyle w:val="BodyChar"/>
        <w:rPr>
          <w:rFonts w:ascii="Times New Roman" w:hAnsi="Times New Roman"/>
        </w:rPr>
      </w:pPr>
      <w:r w:rsidRPr="00693D10">
        <w:rPr>
          <w:rFonts w:ascii="Times New Roman" w:hAnsi="Times New Roman"/>
          <w:noProof/>
          <w:lang w:val="en-US"/>
        </w:rPr>
        <w:lastRenderedPageBreak/>
        <w:drawing>
          <wp:inline distT="0" distB="0" distL="0" distR="0" wp14:anchorId="44CC0DF3" wp14:editId="6340079B">
            <wp:extent cx="5736590" cy="41821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6590" cy="4182110"/>
                    </a:xfrm>
                    <a:prstGeom prst="rect">
                      <a:avLst/>
                    </a:prstGeom>
                    <a:noFill/>
                  </pic:spPr>
                </pic:pic>
              </a:graphicData>
            </a:graphic>
          </wp:inline>
        </w:drawing>
      </w:r>
    </w:p>
    <w:p w:rsidR="006E2E8A" w:rsidRPr="00693D10" w:rsidRDefault="006E2E8A">
      <w:pPr>
        <w:pStyle w:val="BodyChar"/>
        <w:rPr>
          <w:rFonts w:ascii="Times New Roman" w:hAnsi="Times New Roman"/>
        </w:rPr>
      </w:pPr>
    </w:p>
    <w:p w:rsidR="003F5982" w:rsidRPr="00693D10" w:rsidRDefault="00797023" w:rsidP="00363E90">
      <w:pPr>
        <w:pStyle w:val="AEuroAbstract"/>
        <w:spacing w:before="0"/>
        <w:rPr>
          <w:spacing w:val="4"/>
          <w:sz w:val="22"/>
          <w:szCs w:val="22"/>
        </w:rPr>
      </w:pPr>
      <w:r w:rsidRPr="00693D10">
        <w:rPr>
          <w:b/>
          <w:spacing w:val="4"/>
          <w:sz w:val="22"/>
          <w:szCs w:val="22"/>
        </w:rPr>
        <w:t>Figure 3</w:t>
      </w:r>
      <w:r w:rsidR="003F5982" w:rsidRPr="00693D10">
        <w:rPr>
          <w:b/>
          <w:spacing w:val="4"/>
          <w:sz w:val="22"/>
          <w:szCs w:val="22"/>
        </w:rPr>
        <w:t>.</w:t>
      </w:r>
      <w:r w:rsidR="00E068FB" w:rsidRPr="00693D10">
        <w:rPr>
          <w:spacing w:val="4"/>
          <w:sz w:val="22"/>
          <w:szCs w:val="22"/>
        </w:rPr>
        <w:t xml:space="preserve"> The </w:t>
      </w:r>
      <w:r w:rsidR="004160C6" w:rsidRPr="00693D10">
        <w:rPr>
          <w:spacing w:val="4"/>
          <w:sz w:val="22"/>
          <w:szCs w:val="22"/>
        </w:rPr>
        <w:t>MACD</w:t>
      </w:r>
      <w:r w:rsidR="00345E0B" w:rsidRPr="00693D10">
        <w:rPr>
          <w:spacing w:val="4"/>
          <w:sz w:val="22"/>
          <w:szCs w:val="22"/>
        </w:rPr>
        <w:t>(12,26,9)</w:t>
      </w:r>
      <w:r w:rsidR="004160C6" w:rsidRPr="00693D10">
        <w:rPr>
          <w:spacing w:val="4"/>
          <w:sz w:val="22"/>
          <w:szCs w:val="22"/>
        </w:rPr>
        <w:t xml:space="preserve"> and RSI</w:t>
      </w:r>
      <w:r w:rsidR="00345E0B" w:rsidRPr="00693D10">
        <w:rPr>
          <w:spacing w:val="4"/>
          <w:sz w:val="22"/>
          <w:szCs w:val="22"/>
        </w:rPr>
        <w:t>(14)</w:t>
      </w:r>
      <w:r w:rsidR="004160C6" w:rsidRPr="00693D10">
        <w:rPr>
          <w:spacing w:val="4"/>
          <w:sz w:val="22"/>
          <w:szCs w:val="22"/>
        </w:rPr>
        <w:t xml:space="preserve"> convolution results </w:t>
      </w:r>
      <w:r w:rsidR="006C11EC" w:rsidRPr="00693D10">
        <w:rPr>
          <w:spacing w:val="4"/>
          <w:sz w:val="22"/>
          <w:szCs w:val="22"/>
        </w:rPr>
        <w:t>using</w:t>
      </w:r>
      <w:r w:rsidR="004160C6" w:rsidRPr="00693D10">
        <w:rPr>
          <w:spacing w:val="4"/>
          <w:sz w:val="22"/>
          <w:szCs w:val="22"/>
        </w:rPr>
        <w:t xml:space="preserve"> Maxwell-Boltzmann distribution as a </w:t>
      </w:r>
      <w:r w:rsidR="00AD43A3" w:rsidRPr="00693D10">
        <w:rPr>
          <w:spacing w:val="4"/>
          <w:sz w:val="22"/>
          <w:szCs w:val="22"/>
        </w:rPr>
        <w:t>“Raffasya v.1.0”</w:t>
      </w:r>
      <w:r w:rsidR="00AD43A3" w:rsidRPr="00693D10">
        <w:t xml:space="preserve"> </w:t>
      </w:r>
      <w:r w:rsidR="00AD43A3" w:rsidRPr="00693D10">
        <w:rPr>
          <w:spacing w:val="4"/>
          <w:sz w:val="22"/>
          <w:szCs w:val="22"/>
        </w:rPr>
        <w:t xml:space="preserve">indicators </w:t>
      </w:r>
      <w:r w:rsidR="004160C6" w:rsidRPr="00693D10">
        <w:rPr>
          <w:spacing w:val="4"/>
          <w:sz w:val="22"/>
          <w:szCs w:val="22"/>
        </w:rPr>
        <w:t>on GBPUSD Prices TF 15 minutes during Brexit referendum at 01-03-2019 until 03-29-2019</w:t>
      </w:r>
    </w:p>
    <w:p w:rsidR="006E2E8A" w:rsidRPr="00693D10" w:rsidRDefault="006E2E8A">
      <w:pPr>
        <w:pStyle w:val="BodyChar"/>
        <w:rPr>
          <w:rFonts w:ascii="Times New Roman" w:hAnsi="Times New Roman"/>
        </w:rPr>
      </w:pPr>
    </w:p>
    <w:p w:rsidR="00994FCE" w:rsidRPr="00693D10" w:rsidRDefault="00994FCE" w:rsidP="00994FCE">
      <w:pPr>
        <w:pStyle w:val="AEuroAbstract"/>
        <w:spacing w:before="0"/>
        <w:jc w:val="center"/>
        <w:rPr>
          <w:spacing w:val="4"/>
          <w:sz w:val="22"/>
          <w:szCs w:val="22"/>
        </w:rPr>
      </w:pPr>
      <w:r w:rsidRPr="00693D10">
        <w:rPr>
          <w:noProof/>
          <w:spacing w:val="4"/>
          <w:sz w:val="22"/>
          <w:szCs w:val="22"/>
          <w:lang w:eastAsia="en-US"/>
        </w:rPr>
        <w:drawing>
          <wp:inline distT="0" distB="0" distL="0" distR="0" wp14:anchorId="2A70A777" wp14:editId="3ED5581F">
            <wp:extent cx="4321810" cy="2777490"/>
            <wp:effectExtent l="19050" t="19050" r="2159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1810" cy="2777490"/>
                    </a:xfrm>
                    <a:prstGeom prst="rect">
                      <a:avLst/>
                    </a:prstGeom>
                    <a:noFill/>
                    <a:ln w="19050">
                      <a:solidFill>
                        <a:schemeClr val="tx1"/>
                      </a:solidFill>
                    </a:ln>
                  </pic:spPr>
                </pic:pic>
              </a:graphicData>
            </a:graphic>
          </wp:inline>
        </w:drawing>
      </w:r>
    </w:p>
    <w:p w:rsidR="00994FCE" w:rsidRPr="00693D10" w:rsidRDefault="00994FCE" w:rsidP="00994FCE">
      <w:pPr>
        <w:pStyle w:val="AEuroAbstract"/>
        <w:spacing w:before="0"/>
        <w:rPr>
          <w:b/>
          <w:spacing w:val="4"/>
          <w:sz w:val="22"/>
          <w:szCs w:val="22"/>
        </w:rPr>
      </w:pPr>
    </w:p>
    <w:p w:rsidR="00994FCE" w:rsidRPr="00693D10" w:rsidRDefault="00797023" w:rsidP="00994FCE">
      <w:pPr>
        <w:pStyle w:val="AEuroAbstract"/>
        <w:spacing w:before="0"/>
        <w:rPr>
          <w:spacing w:val="4"/>
          <w:sz w:val="22"/>
          <w:szCs w:val="22"/>
        </w:rPr>
      </w:pPr>
      <w:r w:rsidRPr="00693D10">
        <w:rPr>
          <w:b/>
          <w:spacing w:val="4"/>
          <w:sz w:val="22"/>
          <w:szCs w:val="22"/>
        </w:rPr>
        <w:t>Figure 4</w:t>
      </w:r>
      <w:r w:rsidR="00994FCE" w:rsidRPr="00693D10">
        <w:rPr>
          <w:b/>
          <w:spacing w:val="4"/>
          <w:sz w:val="22"/>
          <w:szCs w:val="22"/>
        </w:rPr>
        <w:t>.</w:t>
      </w:r>
      <w:r w:rsidR="00994FCE" w:rsidRPr="00693D10">
        <w:rPr>
          <w:spacing w:val="4"/>
          <w:sz w:val="22"/>
          <w:szCs w:val="22"/>
        </w:rPr>
        <w:t xml:space="preserve"> Display of MetaTrader4 and MetaTrader5: (a) chart of GBPUSD candlestick </w:t>
      </w:r>
      <w:r w:rsidR="009460B5" w:rsidRPr="00693D10">
        <w:rPr>
          <w:spacing w:val="4"/>
          <w:sz w:val="22"/>
          <w:szCs w:val="22"/>
        </w:rPr>
        <w:t xml:space="preserve">TF 15 minutes </w:t>
      </w:r>
      <w:r w:rsidR="00994FCE" w:rsidRPr="00693D10">
        <w:rPr>
          <w:spacing w:val="4"/>
          <w:sz w:val="22"/>
          <w:szCs w:val="22"/>
        </w:rPr>
        <w:t>during Brexit referendum 2019; (b) the spectrum of “Raffasya v.1.0”</w:t>
      </w:r>
      <w:r w:rsidR="00994FCE" w:rsidRPr="00693D10">
        <w:t xml:space="preserve"> </w:t>
      </w:r>
      <w:r w:rsidR="00994FCE" w:rsidRPr="00693D10">
        <w:rPr>
          <w:spacing w:val="4"/>
          <w:sz w:val="22"/>
          <w:szCs w:val="22"/>
        </w:rPr>
        <w:t xml:space="preserve">indicators. </w:t>
      </w:r>
    </w:p>
    <w:p w:rsidR="00994FCE" w:rsidRPr="00693D10" w:rsidRDefault="00994FCE" w:rsidP="00994FCE">
      <w:pPr>
        <w:pStyle w:val="AEuroAbstract"/>
        <w:spacing w:before="0"/>
        <w:rPr>
          <w:spacing w:val="4"/>
          <w:sz w:val="22"/>
          <w:szCs w:val="22"/>
        </w:rPr>
      </w:pPr>
    </w:p>
    <w:p w:rsidR="00EA3F4B" w:rsidRPr="00693D10" w:rsidRDefault="00A42FDA" w:rsidP="00A42FDA">
      <w:pPr>
        <w:pStyle w:val="section"/>
        <w:rPr>
          <w:rFonts w:ascii="Times New Roman" w:hAnsi="Times New Roman"/>
          <w:sz w:val="24"/>
        </w:rPr>
      </w:pPr>
      <w:r w:rsidRPr="00693D10">
        <w:rPr>
          <w:rFonts w:ascii="Times New Roman" w:hAnsi="Times New Roman"/>
        </w:rPr>
        <w:lastRenderedPageBreak/>
        <w:t>Conclusion</w:t>
      </w:r>
    </w:p>
    <w:p w:rsidR="00327953" w:rsidRPr="00693D10" w:rsidRDefault="00327953" w:rsidP="00327953">
      <w:pPr>
        <w:pStyle w:val="BodyChar"/>
        <w:rPr>
          <w:rFonts w:ascii="Times New Roman" w:hAnsi="Times New Roman"/>
        </w:rPr>
      </w:pPr>
      <w:r w:rsidRPr="00693D10">
        <w:rPr>
          <w:rFonts w:ascii="Times New Roman" w:hAnsi="Times New Roman"/>
        </w:rPr>
        <w:t xml:space="preserve">The spectrum of “Raffasya v.1.0” indicators is a new technical analysis developed using statistical mechanics based on Maxwell-Boltzmann distribution. </w:t>
      </w:r>
      <w:r w:rsidRPr="00693D10">
        <w:rPr>
          <w:rFonts w:ascii="Times New Roman" w:hAnsi="Times New Roman"/>
          <w:spacing w:val="4"/>
        </w:rPr>
        <w:t>This indicator can provide high accuracy in investment decisions and quickly identify MACD + RSI’s anomaly. So that net income obtained is higher with low risk.</w:t>
      </w:r>
    </w:p>
    <w:p w:rsidR="00EA3F4B" w:rsidRPr="00693D10" w:rsidRDefault="00EA3F4B">
      <w:pPr>
        <w:pStyle w:val="BodyChar"/>
        <w:rPr>
          <w:rFonts w:ascii="Times New Roman" w:hAnsi="Times New Roman"/>
        </w:rPr>
      </w:pPr>
    </w:p>
    <w:p w:rsidR="00EA3F4B" w:rsidRPr="00693D10" w:rsidRDefault="00EA3F4B">
      <w:pPr>
        <w:pStyle w:val="BodyChar"/>
        <w:rPr>
          <w:rFonts w:ascii="Times New Roman" w:hAnsi="Times New Roman"/>
          <w:b/>
        </w:rPr>
      </w:pPr>
      <w:r w:rsidRPr="00693D10">
        <w:rPr>
          <w:rFonts w:ascii="Times New Roman" w:hAnsi="Times New Roman"/>
          <w:b/>
        </w:rPr>
        <w:t>Acknowledgments</w:t>
      </w:r>
    </w:p>
    <w:p w:rsidR="00010DCE" w:rsidRPr="00693D10" w:rsidRDefault="00010DCE">
      <w:pPr>
        <w:pStyle w:val="BodyChar"/>
        <w:rPr>
          <w:rFonts w:ascii="Times New Roman" w:hAnsi="Times New Roman"/>
          <w:color w:val="000000" w:themeColor="text1"/>
        </w:rPr>
      </w:pPr>
      <w:r w:rsidRPr="00693D10">
        <w:rPr>
          <w:rFonts w:ascii="Times New Roman" w:hAnsi="Times New Roman"/>
          <w:color w:val="000000" w:themeColor="text1"/>
          <w:lang w:val="en-US"/>
        </w:rPr>
        <w:t xml:space="preserve">The authors would like to thank Mrs. </w:t>
      </w:r>
      <w:hyperlink r:id="rId19" w:history="1">
        <w:r w:rsidRPr="00693D10">
          <w:rPr>
            <w:rStyle w:val="Hyperlink"/>
            <w:rFonts w:ascii="Times New Roman" w:hAnsi="Times New Roman"/>
            <w:color w:val="000000" w:themeColor="text1"/>
            <w:u w:val="none"/>
            <w:lang w:val="en-US"/>
          </w:rPr>
          <w:t>P Novianti</w:t>
        </w:r>
      </w:hyperlink>
      <w:r w:rsidRPr="00693D10">
        <w:rPr>
          <w:rFonts w:ascii="Times New Roman" w:hAnsi="Times New Roman"/>
          <w:color w:val="000000" w:themeColor="text1"/>
          <w:lang w:val="en-US"/>
        </w:rPr>
        <w:t xml:space="preserve"> as a Corporate Financial Manager from </w:t>
      </w:r>
      <w:hyperlink r:id="rId20" w:history="1">
        <w:r w:rsidRPr="00693D10">
          <w:rPr>
            <w:rStyle w:val="Hyperlink"/>
            <w:rFonts w:ascii="Times New Roman" w:hAnsi="Times New Roman"/>
            <w:color w:val="000000" w:themeColor="text1"/>
            <w:u w:val="none"/>
            <w:lang w:val="en-US"/>
          </w:rPr>
          <w:t>Monex Investindo Futures Inc.</w:t>
        </w:r>
      </w:hyperlink>
      <w:r w:rsidRPr="00693D10">
        <w:rPr>
          <w:rFonts w:ascii="Times New Roman" w:hAnsi="Times New Roman"/>
          <w:color w:val="000000" w:themeColor="text1"/>
          <w:lang w:val="en-US"/>
        </w:rPr>
        <w:t xml:space="preserve">, in the </w:t>
      </w:r>
      <w:r w:rsidRPr="00693D10">
        <w:rPr>
          <w:rFonts w:ascii="Times New Roman" w:hAnsi="Times New Roman"/>
          <w:color w:val="000000" w:themeColor="text1"/>
        </w:rPr>
        <w:t>Sahid Sudirman Center 17</w:t>
      </w:r>
      <w:r w:rsidRPr="00693D10">
        <w:rPr>
          <w:rFonts w:ascii="Times New Roman" w:hAnsi="Times New Roman"/>
          <w:color w:val="000000" w:themeColor="text1"/>
          <w:vertAlign w:val="superscript"/>
        </w:rPr>
        <w:t>th</w:t>
      </w:r>
      <w:r w:rsidRPr="00693D10">
        <w:rPr>
          <w:rFonts w:ascii="Times New Roman" w:hAnsi="Times New Roman"/>
          <w:color w:val="000000" w:themeColor="text1"/>
        </w:rPr>
        <w:t xml:space="preserve"> floor, Jenderal Sudirman Street Kav. 86, Jakarta 10220, Indonesia</w:t>
      </w:r>
      <w:r w:rsidRPr="00693D10">
        <w:rPr>
          <w:rFonts w:ascii="Times New Roman" w:hAnsi="Times New Roman"/>
          <w:color w:val="000000" w:themeColor="text1"/>
          <w:lang w:val="en-US"/>
        </w:rPr>
        <w:t xml:space="preserve"> for the research facilities provided as well as guidance for the implementation of the research using MIFX Mobile, MetaTrader 4, and MetaQuote with Account Number </w:t>
      </w:r>
      <w:r w:rsidRPr="00693D10">
        <w:rPr>
          <w:rFonts w:ascii="Times New Roman" w:hAnsi="Times New Roman"/>
          <w:color w:val="000000" w:themeColor="text1"/>
        </w:rPr>
        <w:t>92066552.</w:t>
      </w:r>
    </w:p>
    <w:p w:rsidR="00257BB4" w:rsidRPr="00693D10" w:rsidRDefault="00257BB4">
      <w:pPr>
        <w:pStyle w:val="BodyChar"/>
        <w:rPr>
          <w:rFonts w:ascii="Times New Roman" w:hAnsi="Times New Roman"/>
        </w:rPr>
      </w:pPr>
    </w:p>
    <w:p w:rsidR="00257BB4" w:rsidRPr="00693D10" w:rsidRDefault="00257BB4" w:rsidP="00257BB4">
      <w:pPr>
        <w:pStyle w:val="BodyChar"/>
        <w:rPr>
          <w:rFonts w:ascii="Times New Roman" w:hAnsi="Times New Roman"/>
          <w:b/>
          <w:color w:val="000000" w:themeColor="text1"/>
        </w:rPr>
      </w:pPr>
      <w:r w:rsidRPr="00693D10">
        <w:rPr>
          <w:rFonts w:ascii="Times New Roman" w:hAnsi="Times New Roman"/>
          <w:b/>
          <w:color w:val="000000" w:themeColor="text1"/>
        </w:rPr>
        <w:t>References</w:t>
      </w:r>
    </w:p>
    <w:p w:rsidR="00257BB4" w:rsidRPr="00693D10" w:rsidRDefault="00ED09DE" w:rsidP="00E71828">
      <w:pPr>
        <w:pStyle w:val="Reference"/>
        <w:tabs>
          <w:tab w:val="clear" w:pos="709"/>
          <w:tab w:val="left" w:pos="851"/>
        </w:tabs>
        <w:rPr>
          <w:rStyle w:val="times1"/>
          <w:color w:val="000000" w:themeColor="text1"/>
          <w:sz w:val="22"/>
          <w:szCs w:val="22"/>
        </w:rPr>
      </w:pPr>
      <w:r w:rsidRPr="00693D10">
        <w:rPr>
          <w:rFonts w:ascii="Times New Roman" w:hAnsi="Times New Roman"/>
          <w:color w:val="000000" w:themeColor="text1"/>
          <w:lang w:val="en-US"/>
        </w:rPr>
        <w:t>[1]</w:t>
      </w:r>
      <w:r w:rsidRPr="00693D10">
        <w:rPr>
          <w:rFonts w:ascii="Times New Roman" w:hAnsi="Times New Roman"/>
          <w:color w:val="000000" w:themeColor="text1"/>
          <w:lang w:val="en-US"/>
        </w:rPr>
        <w:tab/>
      </w:r>
      <w:hyperlink r:id="rId21" w:history="1">
        <w:r w:rsidR="00696E92" w:rsidRPr="00693D10">
          <w:rPr>
            <w:rStyle w:val="Hyperlink"/>
            <w:rFonts w:ascii="Times New Roman" w:hAnsi="Times New Roman"/>
            <w:color w:val="000000" w:themeColor="text1"/>
            <w:u w:val="none"/>
          </w:rPr>
          <w:t xml:space="preserve">Mohti W, Dionísio A, Vieira I, and Ferreira P </w:t>
        </w:r>
        <w:r w:rsidR="00FB76CA" w:rsidRPr="00693D10">
          <w:rPr>
            <w:rStyle w:val="Hyperlink"/>
            <w:rFonts w:ascii="Times New Roman" w:hAnsi="Times New Roman"/>
            <w:color w:val="000000" w:themeColor="text1"/>
            <w:u w:val="none"/>
          </w:rPr>
          <w:t xml:space="preserve">2019 </w:t>
        </w:r>
        <w:r w:rsidR="00FB76CA" w:rsidRPr="00693D10">
          <w:rPr>
            <w:rStyle w:val="Hyperlink"/>
            <w:rFonts w:ascii="Times New Roman" w:hAnsi="Times New Roman"/>
            <w:i/>
            <w:color w:val="000000" w:themeColor="text1"/>
            <w:u w:val="none"/>
          </w:rPr>
          <w:t>Physica A</w:t>
        </w:r>
        <w:r w:rsidR="00FB76CA" w:rsidRPr="00693D10">
          <w:rPr>
            <w:rStyle w:val="Hyperlink"/>
            <w:rFonts w:ascii="Times New Roman" w:hAnsi="Times New Roman"/>
            <w:color w:val="000000" w:themeColor="text1"/>
            <w:u w:val="none"/>
          </w:rPr>
          <w:t xml:space="preserve"> </w:t>
        </w:r>
        <w:r w:rsidR="009775DD" w:rsidRPr="00693D10">
          <w:rPr>
            <w:rStyle w:val="Hyperlink"/>
            <w:rFonts w:ascii="Times New Roman" w:hAnsi="Times New Roman"/>
            <w:b/>
            <w:color w:val="000000" w:themeColor="text1"/>
            <w:u w:val="none"/>
          </w:rPr>
          <w:t>525</w:t>
        </w:r>
        <w:r w:rsidR="00FB76CA" w:rsidRPr="00693D10">
          <w:rPr>
            <w:rStyle w:val="Hyperlink"/>
            <w:rFonts w:ascii="Times New Roman" w:hAnsi="Times New Roman"/>
            <w:color w:val="000000" w:themeColor="text1"/>
            <w:u w:val="none"/>
          </w:rPr>
          <w:t xml:space="preserve"> </w:t>
        </w:r>
        <w:r w:rsidR="009775DD" w:rsidRPr="00693D10">
          <w:rPr>
            <w:rStyle w:val="Hyperlink"/>
            <w:rFonts w:ascii="Times New Roman" w:hAnsi="Times New Roman"/>
            <w:color w:val="000000" w:themeColor="text1"/>
            <w:u w:val="none"/>
          </w:rPr>
          <w:t>1388</w:t>
        </w:r>
      </w:hyperlink>
    </w:p>
    <w:p w:rsidR="00B75E88" w:rsidRPr="00693D10" w:rsidRDefault="00ED09DE" w:rsidP="00E71828">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[2]</w:t>
      </w:r>
      <w:r w:rsidR="008A7D61" w:rsidRPr="00693D10">
        <w:rPr>
          <w:rStyle w:val="times1"/>
          <w:color w:val="000000" w:themeColor="text1"/>
          <w:sz w:val="22"/>
          <w:szCs w:val="22"/>
        </w:rPr>
        <w:tab/>
      </w:r>
      <w:hyperlink r:id="rId22" w:history="1">
        <w:r w:rsidR="00B75E88" w:rsidRPr="00693D10">
          <w:rPr>
            <w:rStyle w:val="Hyperlink"/>
            <w:rFonts w:ascii="Times New Roman" w:hAnsi="Times New Roman"/>
            <w:color w:val="000000" w:themeColor="text1"/>
            <w:u w:val="none"/>
            <w:lang w:val="en-US"/>
          </w:rPr>
          <w:t>Guedes E F, Ferreira P, Dionísio A, and Zebende G F</w:t>
        </w:r>
        <w:r w:rsidR="00010A9D" w:rsidRPr="00693D10">
          <w:rPr>
            <w:rStyle w:val="Hyperlink"/>
            <w:rFonts w:ascii="Times New Roman" w:hAnsi="Times New Roman"/>
            <w:color w:val="000000" w:themeColor="text1"/>
            <w:u w:val="none"/>
            <w:lang w:val="en-US"/>
          </w:rPr>
          <w:t xml:space="preserve"> </w:t>
        </w:r>
        <w:r w:rsidR="00010A9D" w:rsidRPr="00693D10">
          <w:rPr>
            <w:rStyle w:val="Hyperlink"/>
            <w:rFonts w:ascii="Times New Roman" w:hAnsi="Times New Roman"/>
            <w:color w:val="000000" w:themeColor="text1"/>
            <w:u w:val="none"/>
          </w:rPr>
          <w:t xml:space="preserve">2019 </w:t>
        </w:r>
        <w:r w:rsidR="00010A9D" w:rsidRPr="00693D10">
          <w:rPr>
            <w:rStyle w:val="Hyperlink"/>
            <w:rFonts w:ascii="Times New Roman" w:hAnsi="Times New Roman"/>
            <w:i/>
            <w:color w:val="000000" w:themeColor="text1"/>
            <w:u w:val="none"/>
          </w:rPr>
          <w:t>Physica A</w:t>
        </w:r>
        <w:r w:rsidR="00010A9D" w:rsidRPr="00693D10">
          <w:rPr>
            <w:rStyle w:val="Hyperlink"/>
            <w:rFonts w:ascii="Times New Roman" w:hAnsi="Times New Roman"/>
            <w:color w:val="000000" w:themeColor="text1"/>
            <w:u w:val="none"/>
          </w:rPr>
          <w:t xml:space="preserve"> </w:t>
        </w:r>
        <w:r w:rsidR="00E12785" w:rsidRPr="00693D10">
          <w:rPr>
            <w:rStyle w:val="Hyperlink"/>
            <w:rFonts w:ascii="Times New Roman" w:hAnsi="Times New Roman"/>
            <w:b/>
            <w:color w:val="000000" w:themeColor="text1"/>
            <w:u w:val="none"/>
          </w:rPr>
          <w:t>523</w:t>
        </w:r>
        <w:r w:rsidR="00010A9D" w:rsidRPr="00693D10">
          <w:rPr>
            <w:rStyle w:val="Hyperlink"/>
            <w:rFonts w:ascii="Times New Roman" w:hAnsi="Times New Roman"/>
            <w:color w:val="000000" w:themeColor="text1"/>
            <w:u w:val="none"/>
          </w:rPr>
          <w:t xml:space="preserve"> </w:t>
        </w:r>
        <w:r w:rsidR="00E12785" w:rsidRPr="00693D10">
          <w:rPr>
            <w:rStyle w:val="Hyperlink"/>
            <w:rFonts w:ascii="Times New Roman" w:hAnsi="Times New Roman"/>
            <w:color w:val="000000" w:themeColor="text1"/>
            <w:u w:val="none"/>
          </w:rPr>
          <w:t>1175</w:t>
        </w:r>
      </w:hyperlink>
    </w:p>
    <w:p w:rsidR="0002231E" w:rsidRPr="00693D10" w:rsidRDefault="002D63FC" w:rsidP="0002231E">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 xml:space="preserve">[3] </w:t>
      </w:r>
      <w:r w:rsidR="0002231E" w:rsidRPr="00693D10">
        <w:rPr>
          <w:rStyle w:val="times1"/>
          <w:color w:val="000000" w:themeColor="text1"/>
          <w:sz w:val="22"/>
          <w:szCs w:val="22"/>
        </w:rPr>
        <w:tab/>
      </w:r>
      <w:hyperlink r:id="rId23" w:history="1">
        <w:r w:rsidR="0002231E" w:rsidRPr="00693D10">
          <w:rPr>
            <w:rStyle w:val="Hyperlink"/>
            <w:rFonts w:ascii="Times New Roman" w:hAnsi="Times New Roman"/>
            <w:color w:val="000000" w:themeColor="text1"/>
            <w:u w:val="none"/>
          </w:rPr>
          <w:t xml:space="preserve">Besselink L F M, Swider K, and Michel B 2019 Representation of Member </w:t>
        </w:r>
        <w:r w:rsidR="00755CFB" w:rsidRPr="00693D10">
          <w:rPr>
            <w:rStyle w:val="Hyperlink"/>
            <w:rFonts w:ascii="Times New Roman" w:hAnsi="Times New Roman"/>
            <w:color w:val="000000" w:themeColor="text1"/>
            <w:u w:val="none"/>
          </w:rPr>
          <w:t xml:space="preserve">States </w:t>
        </w:r>
        <w:r w:rsidR="0002231E" w:rsidRPr="00693D10">
          <w:rPr>
            <w:rStyle w:val="Hyperlink"/>
            <w:rFonts w:ascii="Times New Roman" w:hAnsi="Times New Roman"/>
            <w:color w:val="000000" w:themeColor="text1"/>
            <w:u w:val="none"/>
          </w:rPr>
          <w:t xml:space="preserve">in the Council: Voting Power </w:t>
        </w:r>
        <w:r w:rsidR="0002231E" w:rsidRPr="00693D10">
          <w:rPr>
            <w:rStyle w:val="Hyperlink"/>
            <w:rFonts w:ascii="Times New Roman" w:hAnsi="Times New Roman"/>
            <w:i/>
            <w:color w:val="000000" w:themeColor="text1"/>
            <w:u w:val="none"/>
          </w:rPr>
          <w:t>The impact of the UK’s withdrawal on the institutional set-up and political dynamics within the EU</w:t>
        </w:r>
        <w:r w:rsidR="0002231E" w:rsidRPr="00693D10">
          <w:rPr>
            <w:rStyle w:val="Hyperlink"/>
            <w:rFonts w:ascii="Times New Roman" w:hAnsi="Times New Roman"/>
            <w:color w:val="000000" w:themeColor="text1"/>
            <w:u w:val="none"/>
          </w:rPr>
          <w:t xml:space="preserve"> (European Parliament) chapter 2 pp 10-36</w:t>
        </w:r>
      </w:hyperlink>
    </w:p>
    <w:p w:rsidR="00E94D00" w:rsidRPr="00693D10" w:rsidRDefault="00F81BEB" w:rsidP="00E71828">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[4]</w:t>
      </w:r>
      <w:r w:rsidR="0082404A" w:rsidRPr="00693D10">
        <w:rPr>
          <w:rStyle w:val="times1"/>
          <w:color w:val="000000" w:themeColor="text1"/>
          <w:sz w:val="22"/>
          <w:szCs w:val="22"/>
        </w:rPr>
        <w:t xml:space="preserve"> </w:t>
      </w:r>
      <w:r w:rsidR="0082404A" w:rsidRPr="00693D10">
        <w:rPr>
          <w:rStyle w:val="times1"/>
          <w:color w:val="000000" w:themeColor="text1"/>
          <w:sz w:val="22"/>
          <w:szCs w:val="22"/>
        </w:rPr>
        <w:tab/>
      </w:r>
      <w:hyperlink r:id="rId24" w:history="1">
        <w:r w:rsidR="0082404A" w:rsidRPr="00693D10">
          <w:rPr>
            <w:rStyle w:val="Hyperlink"/>
            <w:rFonts w:ascii="Times New Roman" w:hAnsi="Times New Roman"/>
            <w:color w:val="000000" w:themeColor="text1"/>
            <w:u w:val="none"/>
          </w:rPr>
          <w:t xml:space="preserve">Dayyabu S, Adnan A A, and Sulong Z 2016 </w:t>
        </w:r>
        <w:r w:rsidR="0082404A" w:rsidRPr="00693D10">
          <w:rPr>
            <w:rStyle w:val="Hyperlink"/>
            <w:rFonts w:ascii="Times New Roman" w:hAnsi="Times New Roman"/>
            <w:i/>
            <w:color w:val="000000" w:themeColor="text1"/>
            <w:u w:val="none"/>
          </w:rPr>
          <w:t>Int. J. of Eco. &amp; Fin.</w:t>
        </w:r>
        <w:r w:rsidR="0082404A" w:rsidRPr="00693D10">
          <w:rPr>
            <w:rStyle w:val="Hyperlink"/>
            <w:rFonts w:ascii="Times New Roman" w:hAnsi="Times New Roman"/>
            <w:color w:val="000000" w:themeColor="text1"/>
            <w:u w:val="none"/>
          </w:rPr>
          <w:t xml:space="preserve"> </w:t>
        </w:r>
        <w:r w:rsidR="0082404A" w:rsidRPr="00693D10">
          <w:rPr>
            <w:rStyle w:val="Hyperlink"/>
            <w:rFonts w:ascii="Times New Roman" w:hAnsi="Times New Roman"/>
            <w:b/>
            <w:color w:val="000000" w:themeColor="text1"/>
            <w:u w:val="none"/>
          </w:rPr>
          <w:t>6</w:t>
        </w:r>
        <w:r w:rsidR="0082404A" w:rsidRPr="00693D10">
          <w:rPr>
            <w:rStyle w:val="Hyperlink"/>
            <w:rFonts w:ascii="Times New Roman" w:hAnsi="Times New Roman"/>
            <w:color w:val="000000" w:themeColor="text1"/>
            <w:u w:val="none"/>
          </w:rPr>
          <w:t xml:space="preserve"> (1) 279</w:t>
        </w:r>
      </w:hyperlink>
    </w:p>
    <w:p w:rsidR="00F81BEB" w:rsidRPr="00693D10" w:rsidRDefault="00F81BEB" w:rsidP="00E71828">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[5]</w:t>
      </w:r>
      <w:r w:rsidR="00317BDB" w:rsidRPr="00693D10">
        <w:rPr>
          <w:rFonts w:ascii="Times New Roman" w:hAnsi="Times New Roman"/>
          <w:color w:val="000000" w:themeColor="text1"/>
        </w:rPr>
        <w:t xml:space="preserve"> </w:t>
      </w:r>
      <w:r w:rsidR="00317BDB" w:rsidRPr="00693D10">
        <w:rPr>
          <w:rFonts w:ascii="Times New Roman" w:hAnsi="Times New Roman"/>
          <w:color w:val="000000" w:themeColor="text1"/>
        </w:rPr>
        <w:tab/>
      </w:r>
      <w:hyperlink r:id="rId25" w:history="1">
        <w:r w:rsidR="00317BDB" w:rsidRPr="00693D10">
          <w:rPr>
            <w:rStyle w:val="Hyperlink"/>
            <w:rFonts w:ascii="Times New Roman" w:hAnsi="Times New Roman"/>
            <w:color w:val="000000" w:themeColor="text1"/>
            <w:u w:val="none"/>
          </w:rPr>
          <w:t xml:space="preserve">Kaminsky G L and Lewis K K 1996 </w:t>
        </w:r>
        <w:r w:rsidR="00317BDB" w:rsidRPr="00693D10">
          <w:rPr>
            <w:rStyle w:val="Hyperlink"/>
            <w:rFonts w:ascii="Times New Roman" w:hAnsi="Times New Roman"/>
            <w:i/>
            <w:color w:val="000000" w:themeColor="text1"/>
            <w:u w:val="none"/>
          </w:rPr>
          <w:t>J. of Mon. Eco.</w:t>
        </w:r>
        <w:r w:rsidR="00317BDB" w:rsidRPr="00693D10">
          <w:rPr>
            <w:rStyle w:val="Hyperlink"/>
            <w:rFonts w:ascii="Times New Roman" w:hAnsi="Times New Roman"/>
            <w:color w:val="000000" w:themeColor="text1"/>
            <w:u w:val="none"/>
          </w:rPr>
          <w:t xml:space="preserve"> </w:t>
        </w:r>
        <w:r w:rsidR="00317BDB" w:rsidRPr="00693D10">
          <w:rPr>
            <w:rStyle w:val="Hyperlink"/>
            <w:rFonts w:ascii="Times New Roman" w:hAnsi="Times New Roman"/>
            <w:b/>
            <w:color w:val="000000" w:themeColor="text1"/>
            <w:u w:val="none"/>
          </w:rPr>
          <w:t>37</w:t>
        </w:r>
        <w:r w:rsidR="00317BDB" w:rsidRPr="00693D10">
          <w:rPr>
            <w:rStyle w:val="Hyperlink"/>
            <w:rFonts w:ascii="Times New Roman" w:hAnsi="Times New Roman"/>
            <w:color w:val="000000" w:themeColor="text1"/>
            <w:u w:val="none"/>
          </w:rPr>
          <w:t xml:space="preserve"> (2) 285</w:t>
        </w:r>
      </w:hyperlink>
    </w:p>
    <w:p w:rsidR="00E24A30" w:rsidRPr="00693D10" w:rsidRDefault="00531795" w:rsidP="00E24A30">
      <w:pPr>
        <w:pStyle w:val="Reference"/>
        <w:tabs>
          <w:tab w:val="left" w:pos="851"/>
        </w:tabs>
        <w:rPr>
          <w:rStyle w:val="times1"/>
          <w:color w:val="000000" w:themeColor="text1"/>
          <w:sz w:val="22"/>
          <w:szCs w:val="22"/>
        </w:rPr>
      </w:pPr>
      <w:r w:rsidRPr="00693D10">
        <w:rPr>
          <w:rStyle w:val="times1"/>
          <w:color w:val="000000" w:themeColor="text1"/>
          <w:sz w:val="22"/>
          <w:szCs w:val="22"/>
        </w:rPr>
        <w:t>[6]</w:t>
      </w:r>
      <w:r w:rsidR="00E24A30" w:rsidRPr="00693D10">
        <w:rPr>
          <w:rStyle w:val="times1"/>
          <w:color w:val="000000" w:themeColor="text1"/>
          <w:sz w:val="22"/>
          <w:szCs w:val="22"/>
        </w:rPr>
        <w:tab/>
      </w:r>
      <w:hyperlink r:id="rId26" w:history="1">
        <w:r w:rsidR="00E24A30" w:rsidRPr="00693D10">
          <w:rPr>
            <w:rStyle w:val="Hyperlink"/>
            <w:rFonts w:ascii="Times New Roman" w:hAnsi="Times New Roman"/>
            <w:color w:val="000000" w:themeColor="text1"/>
            <w:u w:val="none"/>
          </w:rPr>
          <w:t xml:space="preserve">Mantegna R N, Palagyi Z, and Stanley H E 1999 </w:t>
        </w:r>
        <w:r w:rsidR="00E24A30" w:rsidRPr="00693D10">
          <w:rPr>
            <w:rStyle w:val="Hyperlink"/>
            <w:rFonts w:ascii="Times New Roman" w:hAnsi="Times New Roman"/>
            <w:i/>
            <w:color w:val="000000" w:themeColor="text1"/>
            <w:u w:val="none"/>
          </w:rPr>
          <w:t>Physica A</w:t>
        </w:r>
        <w:r w:rsidR="00E24A30" w:rsidRPr="00693D10">
          <w:rPr>
            <w:rStyle w:val="Hyperlink"/>
            <w:rFonts w:ascii="Times New Roman" w:hAnsi="Times New Roman"/>
            <w:color w:val="000000" w:themeColor="text1"/>
            <w:u w:val="none"/>
          </w:rPr>
          <w:t xml:space="preserve"> </w:t>
        </w:r>
        <w:r w:rsidR="00E24A30" w:rsidRPr="00693D10">
          <w:rPr>
            <w:rStyle w:val="Hyperlink"/>
            <w:rFonts w:ascii="Times New Roman" w:hAnsi="Times New Roman"/>
            <w:b/>
            <w:color w:val="000000" w:themeColor="text1"/>
            <w:u w:val="none"/>
          </w:rPr>
          <w:t>274</w:t>
        </w:r>
        <w:r w:rsidR="00E24A30" w:rsidRPr="00693D10">
          <w:rPr>
            <w:rStyle w:val="Hyperlink"/>
            <w:rFonts w:ascii="Times New Roman" w:hAnsi="Times New Roman"/>
            <w:color w:val="000000" w:themeColor="text1"/>
            <w:u w:val="none"/>
          </w:rPr>
          <w:t xml:space="preserve"> 216</w:t>
        </w:r>
      </w:hyperlink>
    </w:p>
    <w:p w:rsidR="00531795" w:rsidRPr="00693D10" w:rsidRDefault="00531795" w:rsidP="00E71828">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[7]</w:t>
      </w:r>
      <w:r w:rsidR="00BA7570" w:rsidRPr="00693D10">
        <w:rPr>
          <w:rStyle w:val="times1"/>
          <w:color w:val="000000" w:themeColor="text1"/>
          <w:sz w:val="22"/>
          <w:szCs w:val="22"/>
        </w:rPr>
        <w:tab/>
      </w:r>
      <w:hyperlink r:id="rId27" w:history="1">
        <w:r w:rsidR="00BA7570" w:rsidRPr="00693D10">
          <w:rPr>
            <w:rStyle w:val="Hyperlink"/>
            <w:rFonts w:ascii="Times New Roman" w:hAnsi="Times New Roman"/>
            <w:color w:val="000000" w:themeColor="text1"/>
            <w:u w:val="none"/>
          </w:rPr>
          <w:t xml:space="preserve">Dragulescu A and Yakovenko V M 2000 </w:t>
        </w:r>
        <w:r w:rsidR="00BA7570" w:rsidRPr="00693D10">
          <w:rPr>
            <w:rStyle w:val="Hyperlink"/>
            <w:rFonts w:ascii="Times New Roman" w:hAnsi="Times New Roman"/>
            <w:i/>
            <w:color w:val="000000" w:themeColor="text1"/>
            <w:u w:val="none"/>
          </w:rPr>
          <w:t>Eur. Phys. J. B</w:t>
        </w:r>
        <w:r w:rsidR="00BA7570" w:rsidRPr="00693D10">
          <w:rPr>
            <w:rStyle w:val="Hyperlink"/>
            <w:rFonts w:ascii="Times New Roman" w:hAnsi="Times New Roman"/>
            <w:color w:val="000000" w:themeColor="text1"/>
            <w:u w:val="none"/>
          </w:rPr>
          <w:t xml:space="preserve"> </w:t>
        </w:r>
        <w:r w:rsidR="00BA7570" w:rsidRPr="00693D10">
          <w:rPr>
            <w:rStyle w:val="Hyperlink"/>
            <w:rFonts w:ascii="Times New Roman" w:hAnsi="Times New Roman"/>
            <w:b/>
            <w:color w:val="000000" w:themeColor="text1"/>
            <w:u w:val="none"/>
          </w:rPr>
          <w:t>17</w:t>
        </w:r>
        <w:r w:rsidR="00BA7570" w:rsidRPr="00693D10">
          <w:rPr>
            <w:rStyle w:val="Hyperlink"/>
            <w:rFonts w:ascii="Times New Roman" w:hAnsi="Times New Roman"/>
            <w:color w:val="000000" w:themeColor="text1"/>
            <w:u w:val="none"/>
          </w:rPr>
          <w:t xml:space="preserve"> 723</w:t>
        </w:r>
      </w:hyperlink>
    </w:p>
    <w:p w:rsidR="00DB2CFD" w:rsidRPr="00693D10" w:rsidRDefault="00DB2CFD" w:rsidP="00DB2CFD">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[8]</w:t>
      </w:r>
      <w:r w:rsidRPr="00693D10">
        <w:rPr>
          <w:rStyle w:val="times1"/>
          <w:color w:val="000000" w:themeColor="text1"/>
          <w:sz w:val="22"/>
          <w:szCs w:val="22"/>
        </w:rPr>
        <w:tab/>
      </w:r>
      <w:hyperlink r:id="rId28" w:history="1">
        <w:r w:rsidRPr="00693D10">
          <w:rPr>
            <w:rStyle w:val="Hyperlink"/>
            <w:rFonts w:ascii="Times New Roman" w:hAnsi="Times New Roman"/>
            <w:color w:val="000000" w:themeColor="text1"/>
            <w:u w:val="none"/>
          </w:rPr>
          <w:t xml:space="preserve">Mantegna R N and Stanley H E 2004 An Introduction to Econophysics </w:t>
        </w:r>
        <w:r w:rsidRPr="00693D10">
          <w:rPr>
            <w:rStyle w:val="Hyperlink"/>
            <w:rFonts w:ascii="Times New Roman" w:hAnsi="Times New Roman"/>
            <w:i/>
            <w:color w:val="000000" w:themeColor="text1"/>
            <w:u w:val="none"/>
          </w:rPr>
          <w:t>Efficient market hypothesis</w:t>
        </w:r>
        <w:r w:rsidRPr="00693D10">
          <w:rPr>
            <w:rStyle w:val="Hyperlink"/>
            <w:rFonts w:ascii="Times New Roman" w:hAnsi="Times New Roman"/>
            <w:color w:val="000000" w:themeColor="text1"/>
            <w:u w:val="none"/>
          </w:rPr>
          <w:t xml:space="preserve"> (Cambridge: Cambridge University Press) chapter 2 pp 8-13</w:t>
        </w:r>
      </w:hyperlink>
    </w:p>
    <w:p w:rsidR="00DB2CFD" w:rsidRPr="00693D10" w:rsidRDefault="00DB2CFD" w:rsidP="00DB2CFD">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[9]</w:t>
      </w:r>
      <w:r w:rsidRPr="00693D10">
        <w:rPr>
          <w:rStyle w:val="times1"/>
          <w:color w:val="000000" w:themeColor="text1"/>
          <w:sz w:val="22"/>
          <w:szCs w:val="22"/>
        </w:rPr>
        <w:tab/>
      </w:r>
      <w:hyperlink r:id="rId29" w:history="1">
        <w:r w:rsidRPr="00693D10">
          <w:rPr>
            <w:rStyle w:val="Hyperlink"/>
            <w:rFonts w:ascii="Times New Roman" w:hAnsi="Times New Roman"/>
            <w:color w:val="000000" w:themeColor="text1"/>
            <w:u w:val="none"/>
          </w:rPr>
          <w:t xml:space="preserve">Cockshott W P, Cottrell A F, Michaelson G J, Wright I P, and Yakovenko V M 2009 The statistical mechanics of money </w:t>
        </w:r>
        <w:r w:rsidRPr="00693D10">
          <w:rPr>
            <w:rStyle w:val="Hyperlink"/>
            <w:rFonts w:ascii="Times New Roman" w:hAnsi="Times New Roman"/>
            <w:i/>
            <w:color w:val="000000" w:themeColor="text1"/>
            <w:u w:val="none"/>
          </w:rPr>
          <w:t>Classical Econophysics</w:t>
        </w:r>
        <w:r w:rsidRPr="00693D10">
          <w:rPr>
            <w:rStyle w:val="Hyperlink"/>
            <w:rFonts w:ascii="Times New Roman" w:hAnsi="Times New Roman"/>
            <w:color w:val="000000" w:themeColor="text1"/>
            <w:u w:val="none"/>
          </w:rPr>
          <w:t xml:space="preserve"> (New York: Routledge) chapter 8 pp 148-160</w:t>
        </w:r>
      </w:hyperlink>
    </w:p>
    <w:p w:rsidR="00AE5B66" w:rsidRPr="00693D10" w:rsidRDefault="00DB2CFD" w:rsidP="00AE5B66">
      <w:pPr>
        <w:pStyle w:val="Reference"/>
        <w:tabs>
          <w:tab w:val="left" w:pos="851"/>
        </w:tabs>
        <w:rPr>
          <w:rStyle w:val="times1"/>
          <w:color w:val="000000" w:themeColor="text1"/>
          <w:sz w:val="22"/>
          <w:szCs w:val="22"/>
        </w:rPr>
      </w:pPr>
      <w:r w:rsidRPr="00693D10">
        <w:rPr>
          <w:rStyle w:val="times1"/>
          <w:color w:val="000000" w:themeColor="text1"/>
          <w:sz w:val="22"/>
          <w:szCs w:val="22"/>
        </w:rPr>
        <w:t>[10</w:t>
      </w:r>
      <w:r w:rsidR="00531795" w:rsidRPr="00693D10">
        <w:rPr>
          <w:rStyle w:val="times1"/>
          <w:color w:val="000000" w:themeColor="text1"/>
          <w:sz w:val="22"/>
          <w:szCs w:val="22"/>
        </w:rPr>
        <w:t>]</w:t>
      </w:r>
      <w:r w:rsidR="00AE5B66" w:rsidRPr="00693D10">
        <w:rPr>
          <w:rStyle w:val="times1"/>
          <w:color w:val="000000" w:themeColor="text1"/>
          <w:sz w:val="22"/>
          <w:szCs w:val="22"/>
        </w:rPr>
        <w:tab/>
      </w:r>
      <w:hyperlink r:id="rId30" w:history="1">
        <w:r w:rsidR="00AE5B66" w:rsidRPr="00693D10">
          <w:rPr>
            <w:rStyle w:val="Hyperlink"/>
            <w:rFonts w:ascii="Times New Roman" w:hAnsi="Times New Roman"/>
            <w:color w:val="000000" w:themeColor="text1"/>
            <w:u w:val="none"/>
          </w:rPr>
          <w:t xml:space="preserve">Yakovenko V M 2009 </w:t>
        </w:r>
        <w:r w:rsidR="00AE5B66" w:rsidRPr="00693D10">
          <w:rPr>
            <w:rStyle w:val="Hyperlink"/>
            <w:rFonts w:ascii="Times New Roman" w:hAnsi="Times New Roman"/>
            <w:i/>
            <w:color w:val="000000" w:themeColor="text1"/>
            <w:u w:val="none"/>
          </w:rPr>
          <w:t>Rev. Mod. Phys.</w:t>
        </w:r>
        <w:r w:rsidR="00AE5B66" w:rsidRPr="00693D10">
          <w:rPr>
            <w:rStyle w:val="Hyperlink"/>
            <w:rFonts w:ascii="Times New Roman" w:hAnsi="Times New Roman"/>
            <w:color w:val="000000" w:themeColor="text1"/>
            <w:u w:val="none"/>
          </w:rPr>
          <w:t xml:space="preserve"> </w:t>
        </w:r>
        <w:r w:rsidR="00AE5B66" w:rsidRPr="00693D10">
          <w:rPr>
            <w:rStyle w:val="Hyperlink"/>
            <w:rFonts w:ascii="Times New Roman" w:hAnsi="Times New Roman"/>
            <w:b/>
            <w:color w:val="000000" w:themeColor="text1"/>
            <w:u w:val="none"/>
          </w:rPr>
          <w:t>81</w:t>
        </w:r>
        <w:r w:rsidR="00AE5B66" w:rsidRPr="00693D10">
          <w:rPr>
            <w:rStyle w:val="Hyperlink"/>
            <w:rFonts w:ascii="Times New Roman" w:hAnsi="Times New Roman"/>
            <w:color w:val="000000" w:themeColor="text1"/>
            <w:u w:val="none"/>
          </w:rPr>
          <w:t xml:space="preserve"> (4) 1703</w:t>
        </w:r>
      </w:hyperlink>
    </w:p>
    <w:p w:rsidR="00E753FE" w:rsidRPr="00693D10" w:rsidRDefault="00DB2CFD" w:rsidP="00E71828">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[11</w:t>
      </w:r>
      <w:r w:rsidR="000A7090" w:rsidRPr="00693D10">
        <w:rPr>
          <w:rStyle w:val="times1"/>
          <w:color w:val="000000" w:themeColor="text1"/>
          <w:sz w:val="22"/>
          <w:szCs w:val="22"/>
        </w:rPr>
        <w:t xml:space="preserve">] </w:t>
      </w:r>
      <w:r w:rsidR="0044084A" w:rsidRPr="00693D10">
        <w:rPr>
          <w:rStyle w:val="times1"/>
          <w:color w:val="000000" w:themeColor="text1"/>
          <w:sz w:val="22"/>
          <w:szCs w:val="22"/>
        </w:rPr>
        <w:tab/>
      </w:r>
      <w:hyperlink r:id="rId31" w:history="1">
        <w:r w:rsidR="000A7090" w:rsidRPr="00693D10">
          <w:rPr>
            <w:rStyle w:val="Hyperlink"/>
            <w:rFonts w:ascii="Times New Roman" w:hAnsi="Times New Roman"/>
            <w:color w:val="000000" w:themeColor="text1"/>
            <w:u w:val="none"/>
          </w:rPr>
          <w:t xml:space="preserve">Anghel G D I </w:t>
        </w:r>
        <w:r w:rsidR="00313E24" w:rsidRPr="00693D10">
          <w:rPr>
            <w:rStyle w:val="Hyperlink"/>
            <w:rFonts w:ascii="Times New Roman" w:hAnsi="Times New Roman"/>
            <w:color w:val="000000" w:themeColor="text1"/>
            <w:u w:val="none"/>
          </w:rPr>
          <w:t xml:space="preserve">2015 </w:t>
        </w:r>
        <w:r w:rsidR="00313E24" w:rsidRPr="00693D10">
          <w:rPr>
            <w:rStyle w:val="Hyperlink"/>
            <w:rFonts w:ascii="Times New Roman" w:hAnsi="Times New Roman"/>
            <w:i/>
            <w:color w:val="000000" w:themeColor="text1"/>
            <w:u w:val="none"/>
          </w:rPr>
          <w:t>Proc. Eco. &amp; Fin.</w:t>
        </w:r>
        <w:r w:rsidR="00313E24" w:rsidRPr="00693D10">
          <w:rPr>
            <w:rStyle w:val="Hyperlink"/>
            <w:rFonts w:ascii="Times New Roman" w:hAnsi="Times New Roman"/>
            <w:color w:val="000000" w:themeColor="text1"/>
            <w:u w:val="none"/>
          </w:rPr>
          <w:t xml:space="preserve"> </w:t>
        </w:r>
        <w:r w:rsidR="006C7F35" w:rsidRPr="00693D10">
          <w:rPr>
            <w:rStyle w:val="Hyperlink"/>
            <w:rFonts w:ascii="Times New Roman" w:hAnsi="Times New Roman"/>
            <w:b/>
            <w:color w:val="000000" w:themeColor="text1"/>
            <w:u w:val="none"/>
          </w:rPr>
          <w:t>32</w:t>
        </w:r>
        <w:r w:rsidR="006C7F35" w:rsidRPr="00693D10">
          <w:rPr>
            <w:rStyle w:val="Hyperlink"/>
            <w:rFonts w:ascii="Times New Roman" w:hAnsi="Times New Roman"/>
            <w:color w:val="000000" w:themeColor="text1"/>
            <w:u w:val="none"/>
          </w:rPr>
          <w:t xml:space="preserve"> 1414</w:t>
        </w:r>
      </w:hyperlink>
    </w:p>
    <w:p w:rsidR="003603FD" w:rsidRPr="00693D10" w:rsidRDefault="00DB2CFD" w:rsidP="003603FD">
      <w:pPr>
        <w:pStyle w:val="Reference"/>
        <w:tabs>
          <w:tab w:val="left" w:pos="851"/>
        </w:tabs>
        <w:rPr>
          <w:rStyle w:val="times1"/>
          <w:color w:val="000000" w:themeColor="text1"/>
          <w:sz w:val="22"/>
          <w:szCs w:val="22"/>
        </w:rPr>
      </w:pPr>
      <w:r w:rsidRPr="00693D10">
        <w:rPr>
          <w:rStyle w:val="times1"/>
          <w:color w:val="000000" w:themeColor="text1"/>
          <w:sz w:val="22"/>
          <w:szCs w:val="22"/>
        </w:rPr>
        <w:t>[12</w:t>
      </w:r>
      <w:r w:rsidR="00DC0816" w:rsidRPr="00693D10">
        <w:rPr>
          <w:rStyle w:val="times1"/>
          <w:color w:val="000000" w:themeColor="text1"/>
          <w:sz w:val="22"/>
          <w:szCs w:val="22"/>
        </w:rPr>
        <w:t xml:space="preserve">] </w:t>
      </w:r>
      <w:r w:rsidR="00DC0816" w:rsidRPr="00693D10">
        <w:rPr>
          <w:rStyle w:val="times1"/>
          <w:color w:val="000000" w:themeColor="text1"/>
          <w:sz w:val="22"/>
          <w:szCs w:val="22"/>
        </w:rPr>
        <w:tab/>
      </w:r>
      <w:hyperlink r:id="rId32" w:history="1">
        <w:r w:rsidR="00DC0816" w:rsidRPr="00693D10">
          <w:rPr>
            <w:rStyle w:val="Hyperlink"/>
            <w:rFonts w:ascii="Times New Roman" w:hAnsi="Times New Roman"/>
            <w:color w:val="000000" w:themeColor="text1"/>
            <w:u w:val="none"/>
          </w:rPr>
          <w:t xml:space="preserve">Appel G </w:t>
        </w:r>
        <w:r w:rsidR="00C97EBF" w:rsidRPr="00693D10">
          <w:rPr>
            <w:rStyle w:val="Hyperlink"/>
            <w:rFonts w:ascii="Times New Roman" w:hAnsi="Times New Roman"/>
            <w:color w:val="000000" w:themeColor="text1"/>
            <w:u w:val="none"/>
          </w:rPr>
          <w:t xml:space="preserve">2005 </w:t>
        </w:r>
        <w:r w:rsidR="00E753FE" w:rsidRPr="00693D10">
          <w:rPr>
            <w:rStyle w:val="Hyperlink"/>
            <w:rFonts w:ascii="Times New Roman" w:hAnsi="Times New Roman"/>
            <w:color w:val="000000" w:themeColor="text1"/>
            <w:u w:val="none"/>
          </w:rPr>
          <w:t>Advanced Moving Average Convergence-Divergence (MACD): The</w:t>
        </w:r>
        <w:r w:rsidR="00712972" w:rsidRPr="00693D10">
          <w:rPr>
            <w:rStyle w:val="Hyperlink"/>
            <w:rFonts w:ascii="Times New Roman" w:hAnsi="Times New Roman"/>
            <w:color w:val="000000" w:themeColor="text1"/>
            <w:u w:val="none"/>
          </w:rPr>
          <w:t xml:space="preserve"> </w:t>
        </w:r>
        <w:r w:rsidR="00E753FE" w:rsidRPr="00693D10">
          <w:rPr>
            <w:rStyle w:val="Hyperlink"/>
            <w:rFonts w:ascii="Times New Roman" w:hAnsi="Times New Roman"/>
            <w:color w:val="000000" w:themeColor="text1"/>
            <w:u w:val="none"/>
          </w:rPr>
          <w:t>Ultimate Market Timing Indicator?</w:t>
        </w:r>
        <w:r w:rsidR="003603FD" w:rsidRPr="00693D10">
          <w:rPr>
            <w:rStyle w:val="Hyperlink"/>
            <w:rFonts w:ascii="Times New Roman" w:hAnsi="Times New Roman"/>
            <w:color w:val="000000" w:themeColor="text1"/>
            <w:u w:val="none"/>
          </w:rPr>
          <w:t xml:space="preserve"> </w:t>
        </w:r>
        <w:r w:rsidR="003603FD" w:rsidRPr="00693D10">
          <w:rPr>
            <w:rStyle w:val="Hyperlink"/>
            <w:rFonts w:ascii="Times New Roman" w:hAnsi="Times New Roman"/>
            <w:i/>
            <w:color w:val="000000" w:themeColor="text1"/>
            <w:u w:val="none"/>
          </w:rPr>
          <w:t>Technical Analysis (Power Tools for Active Investors)</w:t>
        </w:r>
        <w:r w:rsidR="003603FD" w:rsidRPr="00693D10">
          <w:rPr>
            <w:rStyle w:val="Hyperlink"/>
            <w:rFonts w:ascii="Times New Roman" w:hAnsi="Times New Roman"/>
            <w:color w:val="000000" w:themeColor="text1"/>
            <w:u w:val="none"/>
          </w:rPr>
          <w:t xml:space="preserve"> ed Boyd J  (</w:t>
        </w:r>
        <w:r w:rsidR="003C6F3B" w:rsidRPr="00693D10">
          <w:rPr>
            <w:rStyle w:val="Hyperlink"/>
            <w:rFonts w:ascii="Times New Roman" w:hAnsi="Times New Roman"/>
            <w:color w:val="000000" w:themeColor="text1"/>
            <w:u w:val="none"/>
          </w:rPr>
          <w:t>New York</w:t>
        </w:r>
        <w:r w:rsidR="003603FD" w:rsidRPr="00693D10">
          <w:rPr>
            <w:rStyle w:val="Hyperlink"/>
            <w:rFonts w:ascii="Times New Roman" w:hAnsi="Times New Roman"/>
            <w:color w:val="000000" w:themeColor="text1"/>
            <w:u w:val="none"/>
          </w:rPr>
          <w:t xml:space="preserve">: </w:t>
        </w:r>
        <w:r w:rsidR="003C6F3B" w:rsidRPr="00693D10">
          <w:rPr>
            <w:rStyle w:val="Hyperlink"/>
            <w:rFonts w:ascii="Times New Roman" w:hAnsi="Times New Roman"/>
            <w:color w:val="000000" w:themeColor="text1"/>
            <w:u w:val="none"/>
          </w:rPr>
          <w:t>Financial Times Prentice Hall</w:t>
        </w:r>
        <w:r w:rsidR="003603FD" w:rsidRPr="00693D10">
          <w:rPr>
            <w:rStyle w:val="Hyperlink"/>
            <w:rFonts w:ascii="Times New Roman" w:hAnsi="Times New Roman"/>
            <w:color w:val="000000" w:themeColor="text1"/>
            <w:u w:val="none"/>
          </w:rPr>
          <w:t>) chapter 8</w:t>
        </w:r>
        <w:r w:rsidR="004F1B53" w:rsidRPr="00693D10">
          <w:rPr>
            <w:rStyle w:val="Hyperlink"/>
            <w:rFonts w:ascii="Times New Roman" w:hAnsi="Times New Roman"/>
            <w:color w:val="000000" w:themeColor="text1"/>
            <w:u w:val="none"/>
          </w:rPr>
          <w:t xml:space="preserve"> pp 165-200</w:t>
        </w:r>
      </w:hyperlink>
    </w:p>
    <w:p w:rsidR="00DB5C63" w:rsidRPr="00693D10" w:rsidRDefault="00DB2CFD" w:rsidP="00BB17E2">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[13</w:t>
      </w:r>
      <w:r w:rsidR="00CF7005" w:rsidRPr="00693D10">
        <w:rPr>
          <w:rStyle w:val="times1"/>
          <w:color w:val="000000" w:themeColor="text1"/>
          <w:sz w:val="22"/>
          <w:szCs w:val="22"/>
        </w:rPr>
        <w:t>]</w:t>
      </w:r>
      <w:r w:rsidR="00BB17E2" w:rsidRPr="00693D10">
        <w:rPr>
          <w:rStyle w:val="times1"/>
          <w:color w:val="000000" w:themeColor="text1"/>
          <w:sz w:val="22"/>
          <w:szCs w:val="22"/>
        </w:rPr>
        <w:tab/>
      </w:r>
      <w:hyperlink r:id="rId33" w:history="1">
        <w:r w:rsidR="00DB5C63" w:rsidRPr="00693D10">
          <w:rPr>
            <w:rStyle w:val="Hyperlink"/>
            <w:rFonts w:ascii="Times New Roman" w:hAnsi="Times New Roman"/>
            <w:color w:val="000000" w:themeColor="text1"/>
            <w:u w:val="none"/>
          </w:rPr>
          <w:t>Agrawal J G, Chourasia V S, and Mittra A K</w:t>
        </w:r>
        <w:r w:rsidR="0058620E" w:rsidRPr="00693D10">
          <w:rPr>
            <w:rStyle w:val="Hyperlink"/>
            <w:rFonts w:ascii="Times New Roman" w:hAnsi="Times New Roman"/>
            <w:color w:val="000000" w:themeColor="text1"/>
            <w:u w:val="none"/>
          </w:rPr>
          <w:t xml:space="preserve"> 2013 </w:t>
        </w:r>
        <w:r w:rsidR="00A379C2" w:rsidRPr="00693D10">
          <w:rPr>
            <w:rStyle w:val="Hyperlink"/>
            <w:rFonts w:ascii="Times New Roman" w:hAnsi="Times New Roman"/>
            <w:i/>
            <w:color w:val="000000" w:themeColor="text1"/>
            <w:u w:val="none"/>
          </w:rPr>
          <w:t>IJAREEIE</w:t>
        </w:r>
        <w:r w:rsidR="003D583A" w:rsidRPr="00693D10">
          <w:rPr>
            <w:rStyle w:val="Hyperlink"/>
            <w:rFonts w:ascii="Times New Roman" w:hAnsi="Times New Roman"/>
            <w:color w:val="000000" w:themeColor="text1"/>
            <w:u w:val="none"/>
          </w:rPr>
          <w:t xml:space="preserve"> </w:t>
        </w:r>
        <w:r w:rsidR="00A63F50" w:rsidRPr="00693D10">
          <w:rPr>
            <w:rStyle w:val="Hyperlink"/>
            <w:rFonts w:ascii="Times New Roman" w:hAnsi="Times New Roman"/>
            <w:b/>
            <w:color w:val="000000" w:themeColor="text1"/>
            <w:u w:val="none"/>
          </w:rPr>
          <w:t>2</w:t>
        </w:r>
        <w:r w:rsidR="00A63F50" w:rsidRPr="00693D10">
          <w:rPr>
            <w:rStyle w:val="Hyperlink"/>
            <w:rFonts w:ascii="Times New Roman" w:hAnsi="Times New Roman"/>
            <w:color w:val="000000" w:themeColor="text1"/>
            <w:u w:val="none"/>
          </w:rPr>
          <w:t xml:space="preserve"> (4) </w:t>
        </w:r>
        <w:r w:rsidR="00A379C2" w:rsidRPr="00693D10">
          <w:rPr>
            <w:rStyle w:val="Hyperlink"/>
            <w:rFonts w:ascii="Times New Roman" w:hAnsi="Times New Roman"/>
            <w:color w:val="000000" w:themeColor="text1"/>
            <w:u w:val="none"/>
          </w:rPr>
          <w:t>1360</w:t>
        </w:r>
      </w:hyperlink>
    </w:p>
    <w:p w:rsidR="007C26E9" w:rsidRPr="00693D10" w:rsidRDefault="00DB2CFD" w:rsidP="007C26E9">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[14</w:t>
      </w:r>
      <w:r w:rsidR="000A0933" w:rsidRPr="00693D10">
        <w:rPr>
          <w:rStyle w:val="times1"/>
          <w:color w:val="000000" w:themeColor="text1"/>
          <w:sz w:val="22"/>
          <w:szCs w:val="22"/>
        </w:rPr>
        <w:t>]</w:t>
      </w:r>
      <w:r w:rsidR="002C6CF5" w:rsidRPr="00693D10">
        <w:rPr>
          <w:rStyle w:val="times1"/>
          <w:color w:val="000000" w:themeColor="text1"/>
          <w:sz w:val="22"/>
          <w:szCs w:val="22"/>
        </w:rPr>
        <w:t xml:space="preserve"> </w:t>
      </w:r>
      <w:r w:rsidR="002C6CF5" w:rsidRPr="00693D10">
        <w:rPr>
          <w:rStyle w:val="times1"/>
          <w:color w:val="000000" w:themeColor="text1"/>
          <w:sz w:val="22"/>
          <w:szCs w:val="22"/>
        </w:rPr>
        <w:tab/>
      </w:r>
      <w:hyperlink r:id="rId34" w:history="1">
        <w:r w:rsidR="00DB330D" w:rsidRPr="00693D10">
          <w:rPr>
            <w:rStyle w:val="Hyperlink"/>
            <w:rFonts w:ascii="Times New Roman" w:hAnsi="Times New Roman"/>
            <w:color w:val="000000" w:themeColor="text1"/>
            <w:u w:val="none"/>
          </w:rPr>
          <w:t>Wilder J W</w:t>
        </w:r>
        <w:r w:rsidR="002C6CF5" w:rsidRPr="00693D10">
          <w:rPr>
            <w:rStyle w:val="Hyperlink"/>
            <w:rFonts w:ascii="Times New Roman" w:hAnsi="Times New Roman"/>
            <w:color w:val="000000" w:themeColor="text1"/>
            <w:u w:val="none"/>
          </w:rPr>
          <w:t xml:space="preserve"> </w:t>
        </w:r>
        <w:r w:rsidR="00DB330D" w:rsidRPr="00693D10">
          <w:rPr>
            <w:rStyle w:val="Hyperlink"/>
            <w:rFonts w:ascii="Times New Roman" w:hAnsi="Times New Roman"/>
            <w:color w:val="000000" w:themeColor="text1"/>
            <w:u w:val="none"/>
          </w:rPr>
          <w:t>1979</w:t>
        </w:r>
        <w:r w:rsidR="002C6CF5" w:rsidRPr="00693D10">
          <w:rPr>
            <w:rStyle w:val="Hyperlink"/>
            <w:rFonts w:ascii="Times New Roman" w:hAnsi="Times New Roman"/>
            <w:color w:val="000000" w:themeColor="text1"/>
            <w:u w:val="none"/>
          </w:rPr>
          <w:t xml:space="preserve"> </w:t>
        </w:r>
        <w:r w:rsidR="00D021EA" w:rsidRPr="00693D10">
          <w:rPr>
            <w:rStyle w:val="Hyperlink"/>
            <w:rFonts w:ascii="Times New Roman" w:hAnsi="Times New Roman"/>
            <w:color w:val="000000" w:themeColor="text1"/>
            <w:u w:val="none"/>
          </w:rPr>
          <w:t>The Relative Strength Index</w:t>
        </w:r>
        <w:r w:rsidR="002C6CF5" w:rsidRPr="00693D10">
          <w:rPr>
            <w:rStyle w:val="Hyperlink"/>
            <w:rFonts w:ascii="Times New Roman" w:hAnsi="Times New Roman"/>
            <w:color w:val="000000" w:themeColor="text1"/>
            <w:u w:val="none"/>
          </w:rPr>
          <w:t xml:space="preserve"> </w:t>
        </w:r>
        <w:r w:rsidR="00CF7115" w:rsidRPr="00693D10">
          <w:rPr>
            <w:rStyle w:val="Hyperlink"/>
            <w:rFonts w:ascii="Times New Roman" w:hAnsi="Times New Roman"/>
            <w:i/>
            <w:color w:val="000000" w:themeColor="text1"/>
            <w:u w:val="none"/>
          </w:rPr>
          <w:t xml:space="preserve">New Concepts in Technical Trading Systems </w:t>
        </w:r>
        <w:r w:rsidR="002C6CF5" w:rsidRPr="00693D10">
          <w:rPr>
            <w:rStyle w:val="Hyperlink"/>
            <w:rFonts w:ascii="Times New Roman" w:hAnsi="Times New Roman"/>
            <w:color w:val="000000" w:themeColor="text1"/>
            <w:u w:val="none"/>
          </w:rPr>
          <w:t>(</w:t>
        </w:r>
        <w:r w:rsidR="00E000CB" w:rsidRPr="00693D10">
          <w:rPr>
            <w:rStyle w:val="Hyperlink"/>
            <w:rFonts w:ascii="Times New Roman" w:hAnsi="Times New Roman"/>
            <w:color w:val="000000" w:themeColor="text1"/>
            <w:u w:val="none"/>
          </w:rPr>
          <w:t>Winston-Salem</w:t>
        </w:r>
        <w:r w:rsidR="002C6CF5" w:rsidRPr="00693D10">
          <w:rPr>
            <w:rStyle w:val="Hyperlink"/>
            <w:rFonts w:ascii="Times New Roman" w:hAnsi="Times New Roman"/>
            <w:color w:val="000000" w:themeColor="text1"/>
            <w:u w:val="none"/>
          </w:rPr>
          <w:t xml:space="preserve">: </w:t>
        </w:r>
        <w:r w:rsidR="00E000CB" w:rsidRPr="00693D10">
          <w:rPr>
            <w:rStyle w:val="Hyperlink"/>
            <w:rFonts w:ascii="Times New Roman" w:hAnsi="Times New Roman"/>
            <w:color w:val="000000" w:themeColor="text1"/>
            <w:u w:val="none"/>
          </w:rPr>
          <w:t>Hunter Publishing</w:t>
        </w:r>
        <w:r w:rsidR="002C6CF5" w:rsidRPr="00693D10">
          <w:rPr>
            <w:rStyle w:val="Hyperlink"/>
            <w:rFonts w:ascii="Times New Roman" w:hAnsi="Times New Roman"/>
            <w:color w:val="000000" w:themeColor="text1"/>
            <w:u w:val="none"/>
          </w:rPr>
          <w:t xml:space="preserve">) </w:t>
        </w:r>
        <w:r w:rsidR="009B2411" w:rsidRPr="00693D10">
          <w:rPr>
            <w:rStyle w:val="Hyperlink"/>
            <w:rFonts w:ascii="Times New Roman" w:hAnsi="Times New Roman"/>
            <w:color w:val="000000" w:themeColor="text1"/>
            <w:u w:val="none"/>
          </w:rPr>
          <w:t>section 6</w:t>
        </w:r>
        <w:r w:rsidR="002C6CF5" w:rsidRPr="00693D10">
          <w:rPr>
            <w:rStyle w:val="Hyperlink"/>
            <w:rFonts w:ascii="Times New Roman" w:hAnsi="Times New Roman"/>
            <w:color w:val="000000" w:themeColor="text1"/>
            <w:u w:val="none"/>
          </w:rPr>
          <w:t xml:space="preserve"> pp </w:t>
        </w:r>
        <w:r w:rsidR="009B2411" w:rsidRPr="00693D10">
          <w:rPr>
            <w:rStyle w:val="Hyperlink"/>
            <w:rFonts w:ascii="Times New Roman" w:hAnsi="Times New Roman"/>
            <w:color w:val="000000" w:themeColor="text1"/>
            <w:u w:val="none"/>
          </w:rPr>
          <w:t>63</w:t>
        </w:r>
        <w:r w:rsidR="002C6CF5" w:rsidRPr="00693D10">
          <w:rPr>
            <w:rStyle w:val="Hyperlink"/>
            <w:rFonts w:ascii="Times New Roman" w:hAnsi="Times New Roman"/>
            <w:color w:val="000000" w:themeColor="text1"/>
            <w:u w:val="none"/>
          </w:rPr>
          <w:t>-</w:t>
        </w:r>
        <w:r w:rsidR="009B2411" w:rsidRPr="00693D10">
          <w:rPr>
            <w:rStyle w:val="Hyperlink"/>
            <w:rFonts w:ascii="Times New Roman" w:hAnsi="Times New Roman"/>
            <w:color w:val="000000" w:themeColor="text1"/>
            <w:u w:val="none"/>
          </w:rPr>
          <w:t>70</w:t>
        </w:r>
      </w:hyperlink>
    </w:p>
    <w:p w:rsidR="007C26E9" w:rsidRPr="00693D10" w:rsidRDefault="00670FE3" w:rsidP="007C26E9">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[15</w:t>
      </w:r>
      <w:r w:rsidR="007C26E9" w:rsidRPr="00693D10">
        <w:rPr>
          <w:rStyle w:val="times1"/>
          <w:color w:val="000000" w:themeColor="text1"/>
          <w:sz w:val="22"/>
          <w:szCs w:val="22"/>
        </w:rPr>
        <w:t>]</w:t>
      </w:r>
      <w:r w:rsidR="007C26E9" w:rsidRPr="00693D10">
        <w:rPr>
          <w:rStyle w:val="times1"/>
          <w:color w:val="000000" w:themeColor="text1"/>
          <w:sz w:val="22"/>
          <w:szCs w:val="22"/>
        </w:rPr>
        <w:tab/>
      </w:r>
      <w:r w:rsidR="000D23FE" w:rsidRPr="00693D10">
        <w:rPr>
          <w:rStyle w:val="times1"/>
          <w:color w:val="000000" w:themeColor="text1"/>
          <w:sz w:val="22"/>
          <w:szCs w:val="22"/>
        </w:rPr>
        <w:t>MetaQuotes Software Corp</w:t>
      </w:r>
      <w:r w:rsidR="00364FC8" w:rsidRPr="00693D10">
        <w:rPr>
          <w:rStyle w:val="times1"/>
          <w:color w:val="000000" w:themeColor="text1"/>
          <w:sz w:val="22"/>
          <w:szCs w:val="22"/>
        </w:rPr>
        <w:t>oration</w:t>
      </w:r>
      <w:r w:rsidR="000D23FE" w:rsidRPr="00693D10">
        <w:rPr>
          <w:rStyle w:val="times1"/>
          <w:color w:val="000000" w:themeColor="text1"/>
          <w:sz w:val="22"/>
          <w:szCs w:val="22"/>
        </w:rPr>
        <w:t xml:space="preserve"> 2019 </w:t>
      </w:r>
      <w:r w:rsidR="00105F7F" w:rsidRPr="00693D10">
        <w:rPr>
          <w:rStyle w:val="times1"/>
          <w:color w:val="000000" w:themeColor="text1"/>
          <w:sz w:val="22"/>
          <w:szCs w:val="22"/>
        </w:rPr>
        <w:t xml:space="preserve">MetaTrader </w:t>
      </w:r>
      <w:r w:rsidR="005F245D" w:rsidRPr="00693D10">
        <w:rPr>
          <w:rStyle w:val="times1"/>
          <w:color w:val="000000" w:themeColor="text1"/>
          <w:sz w:val="22"/>
          <w:szCs w:val="22"/>
        </w:rPr>
        <w:t>4</w:t>
      </w:r>
      <w:r w:rsidR="00105F7F" w:rsidRPr="00693D10">
        <w:rPr>
          <w:rStyle w:val="times1"/>
          <w:color w:val="000000" w:themeColor="text1"/>
          <w:sz w:val="22"/>
          <w:szCs w:val="22"/>
        </w:rPr>
        <w:t xml:space="preserve"> Trading Platform</w:t>
      </w:r>
      <w:r w:rsidR="006C106A" w:rsidRPr="00693D10">
        <w:rPr>
          <w:rStyle w:val="times1"/>
          <w:color w:val="000000" w:themeColor="text1"/>
          <w:sz w:val="22"/>
          <w:szCs w:val="22"/>
        </w:rPr>
        <w:t xml:space="preserve"> downloaded from </w:t>
      </w:r>
      <w:hyperlink r:id="rId35" w:history="1">
        <w:r w:rsidR="005F245D" w:rsidRPr="00693D10">
          <w:rPr>
            <w:rStyle w:val="Hyperlink"/>
            <w:rFonts w:ascii="Times New Roman" w:hAnsi="Times New Roman"/>
            <w:color w:val="000000" w:themeColor="text1"/>
            <w:u w:val="none"/>
          </w:rPr>
          <w:t>https://www.metaquotes.net/en/metatrader4</w:t>
        </w:r>
      </w:hyperlink>
      <w:r w:rsidR="005F245D" w:rsidRPr="00693D10">
        <w:rPr>
          <w:rStyle w:val="times1"/>
          <w:color w:val="000000" w:themeColor="text1"/>
          <w:sz w:val="22"/>
          <w:szCs w:val="22"/>
        </w:rPr>
        <w:t xml:space="preserve"> </w:t>
      </w:r>
      <w:r w:rsidR="00854987" w:rsidRPr="00693D10">
        <w:rPr>
          <w:rStyle w:val="times1"/>
          <w:color w:val="000000" w:themeColor="text1"/>
          <w:sz w:val="22"/>
          <w:szCs w:val="22"/>
        </w:rPr>
        <w:t>(</w:t>
      </w:r>
      <w:r w:rsidR="006C106A" w:rsidRPr="00693D10">
        <w:rPr>
          <w:rStyle w:val="times1"/>
          <w:color w:val="000000" w:themeColor="text1"/>
          <w:sz w:val="22"/>
          <w:szCs w:val="22"/>
        </w:rPr>
        <w:t>Cyprus -</w:t>
      </w:r>
      <w:r w:rsidR="00854987" w:rsidRPr="00693D10">
        <w:rPr>
          <w:rStyle w:val="times1"/>
          <w:color w:val="000000" w:themeColor="text1"/>
          <w:sz w:val="22"/>
          <w:szCs w:val="22"/>
        </w:rPr>
        <w:t>Limassol)</w:t>
      </w:r>
    </w:p>
    <w:p w:rsidR="00364FC8" w:rsidRPr="00693D10" w:rsidRDefault="00670FE3" w:rsidP="007C26E9">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[16</w:t>
      </w:r>
      <w:r w:rsidR="007C26E9" w:rsidRPr="00693D10">
        <w:rPr>
          <w:rStyle w:val="times1"/>
          <w:color w:val="000000" w:themeColor="text1"/>
          <w:sz w:val="22"/>
          <w:szCs w:val="22"/>
        </w:rPr>
        <w:t>]</w:t>
      </w:r>
      <w:r w:rsidR="007C26E9" w:rsidRPr="00693D10">
        <w:rPr>
          <w:rStyle w:val="times1"/>
          <w:color w:val="000000" w:themeColor="text1"/>
          <w:sz w:val="22"/>
          <w:szCs w:val="22"/>
        </w:rPr>
        <w:tab/>
      </w:r>
      <w:r w:rsidR="00364FC8" w:rsidRPr="00693D10">
        <w:rPr>
          <w:rStyle w:val="times1"/>
          <w:color w:val="000000" w:themeColor="text1"/>
          <w:sz w:val="22"/>
          <w:szCs w:val="22"/>
        </w:rPr>
        <w:t xml:space="preserve">MetaQuotes Software Corporation 2019 MetaTrader 5 Trading Platform </w:t>
      </w:r>
      <w:r w:rsidR="006C106A" w:rsidRPr="00693D10">
        <w:rPr>
          <w:rStyle w:val="times1"/>
          <w:color w:val="000000" w:themeColor="text1"/>
          <w:sz w:val="22"/>
          <w:szCs w:val="22"/>
        </w:rPr>
        <w:t>downloaded from</w:t>
      </w:r>
      <w:r w:rsidR="00364FC8" w:rsidRPr="00693D10">
        <w:rPr>
          <w:rStyle w:val="times1"/>
          <w:color w:val="000000" w:themeColor="text1"/>
          <w:sz w:val="22"/>
          <w:szCs w:val="22"/>
        </w:rPr>
        <w:t xml:space="preserve"> </w:t>
      </w:r>
      <w:hyperlink r:id="rId36" w:history="1">
        <w:r w:rsidR="005F245D" w:rsidRPr="00693D10">
          <w:rPr>
            <w:rStyle w:val="Hyperlink"/>
            <w:rFonts w:ascii="Times New Roman" w:hAnsi="Times New Roman"/>
            <w:color w:val="000000" w:themeColor="text1"/>
            <w:u w:val="none"/>
          </w:rPr>
          <w:t>https://www.metaquotes.net/en/metatrader5</w:t>
        </w:r>
      </w:hyperlink>
      <w:r w:rsidR="005F245D" w:rsidRPr="00693D10">
        <w:rPr>
          <w:rStyle w:val="times1"/>
          <w:color w:val="000000" w:themeColor="text1"/>
          <w:sz w:val="22"/>
          <w:szCs w:val="22"/>
        </w:rPr>
        <w:t xml:space="preserve"> </w:t>
      </w:r>
      <w:r w:rsidR="006C106A" w:rsidRPr="00693D10">
        <w:rPr>
          <w:rStyle w:val="times1"/>
          <w:color w:val="000000" w:themeColor="text1"/>
          <w:sz w:val="22"/>
          <w:szCs w:val="22"/>
        </w:rPr>
        <w:t>(Cyprus -Limassol)</w:t>
      </w:r>
    </w:p>
    <w:p w:rsidR="00364FC8" w:rsidRPr="00693D10" w:rsidRDefault="00F05A1A" w:rsidP="00F05A1A">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 xml:space="preserve">[17] </w:t>
      </w:r>
      <w:r w:rsidRPr="00693D10">
        <w:rPr>
          <w:rStyle w:val="times1"/>
          <w:color w:val="000000" w:themeColor="text1"/>
          <w:sz w:val="22"/>
          <w:szCs w:val="22"/>
        </w:rPr>
        <w:tab/>
      </w:r>
      <w:hyperlink r:id="rId37" w:history="1">
        <w:r w:rsidR="006A0078" w:rsidRPr="00693D10">
          <w:rPr>
            <w:rStyle w:val="Hyperlink"/>
            <w:rFonts w:ascii="Times New Roman" w:hAnsi="Times New Roman"/>
            <w:color w:val="000000" w:themeColor="text1"/>
            <w:u w:val="none"/>
          </w:rPr>
          <w:t xml:space="preserve">Rahmawati N and Lestari T E 2019 Jurnal Matematika </w:t>
        </w:r>
        <w:r w:rsidR="006A0078" w:rsidRPr="00693D10">
          <w:rPr>
            <w:rStyle w:val="Hyperlink"/>
            <w:rFonts w:ascii="Times New Roman" w:hAnsi="Times New Roman"/>
            <w:b/>
            <w:color w:val="000000" w:themeColor="text1"/>
            <w:u w:val="none"/>
          </w:rPr>
          <w:t>9</w:t>
        </w:r>
        <w:r w:rsidR="006A0078" w:rsidRPr="00693D10">
          <w:rPr>
            <w:rStyle w:val="Hyperlink"/>
            <w:rFonts w:ascii="Times New Roman" w:hAnsi="Times New Roman"/>
            <w:color w:val="000000" w:themeColor="text1"/>
            <w:u w:val="none"/>
          </w:rPr>
          <w:t xml:space="preserve"> (1) 11</w:t>
        </w:r>
      </w:hyperlink>
    </w:p>
    <w:p w:rsidR="00F30DC0" w:rsidRPr="00A8652F" w:rsidRDefault="005B68C3" w:rsidP="00226960">
      <w:pPr>
        <w:pStyle w:val="Reference"/>
        <w:tabs>
          <w:tab w:val="clear" w:pos="709"/>
          <w:tab w:val="left" w:pos="851"/>
        </w:tabs>
        <w:rPr>
          <w:rStyle w:val="times1"/>
          <w:color w:val="000000" w:themeColor="text1"/>
          <w:sz w:val="22"/>
          <w:szCs w:val="22"/>
        </w:rPr>
      </w:pPr>
      <w:r w:rsidRPr="00693D10">
        <w:rPr>
          <w:rStyle w:val="times1"/>
          <w:color w:val="000000" w:themeColor="text1"/>
          <w:sz w:val="22"/>
          <w:szCs w:val="22"/>
        </w:rPr>
        <w:t>[18]</w:t>
      </w:r>
      <w:r w:rsidRPr="00693D10">
        <w:rPr>
          <w:rStyle w:val="times1"/>
          <w:color w:val="000000" w:themeColor="text1"/>
          <w:sz w:val="22"/>
          <w:szCs w:val="22"/>
        </w:rPr>
        <w:tab/>
      </w:r>
      <w:hyperlink r:id="rId38" w:history="1">
        <w:r w:rsidR="002C1509" w:rsidRPr="00A8652F">
          <w:rPr>
            <w:rStyle w:val="Hyperlink"/>
            <w:rFonts w:ascii="Times New Roman" w:hAnsi="Times New Roman"/>
            <w:color w:val="000000" w:themeColor="text1"/>
            <w:u w:val="none"/>
          </w:rPr>
          <w:t xml:space="preserve">Johannesson R and Zigangirov K S </w:t>
        </w:r>
        <w:r w:rsidR="00A37016" w:rsidRPr="00A8652F">
          <w:rPr>
            <w:rStyle w:val="Hyperlink"/>
            <w:rFonts w:ascii="Times New Roman" w:hAnsi="Times New Roman"/>
            <w:color w:val="000000" w:themeColor="text1"/>
            <w:u w:val="none"/>
          </w:rPr>
          <w:t xml:space="preserve"> </w:t>
        </w:r>
        <w:r w:rsidR="002C1509" w:rsidRPr="00A8652F">
          <w:rPr>
            <w:rStyle w:val="Hyperlink"/>
            <w:rFonts w:ascii="Times New Roman" w:hAnsi="Times New Roman"/>
            <w:color w:val="000000" w:themeColor="text1"/>
            <w:u w:val="none"/>
          </w:rPr>
          <w:t>1999</w:t>
        </w:r>
        <w:r w:rsidR="00A37016" w:rsidRPr="00A8652F">
          <w:rPr>
            <w:rStyle w:val="Hyperlink"/>
            <w:rFonts w:ascii="Times New Roman" w:hAnsi="Times New Roman"/>
            <w:color w:val="000000" w:themeColor="text1"/>
            <w:u w:val="none"/>
          </w:rPr>
          <w:t xml:space="preserve"> </w:t>
        </w:r>
        <w:r w:rsidR="00790631" w:rsidRPr="00A8652F">
          <w:rPr>
            <w:rStyle w:val="Hyperlink"/>
            <w:rFonts w:ascii="Times New Roman" w:hAnsi="Times New Roman"/>
            <w:color w:val="000000" w:themeColor="text1"/>
            <w:u w:val="none"/>
          </w:rPr>
          <w:t>Convolutional Codes with Good Distance Properties</w:t>
        </w:r>
        <w:r w:rsidR="00A37016" w:rsidRPr="00A8652F">
          <w:rPr>
            <w:rStyle w:val="Hyperlink"/>
            <w:rFonts w:ascii="Times New Roman" w:hAnsi="Times New Roman"/>
            <w:color w:val="000000" w:themeColor="text1"/>
            <w:u w:val="none"/>
          </w:rPr>
          <w:t xml:space="preserve"> </w:t>
        </w:r>
        <w:r w:rsidR="00790631" w:rsidRPr="00A8652F">
          <w:rPr>
            <w:rStyle w:val="Hyperlink"/>
            <w:rFonts w:ascii="Times New Roman" w:hAnsi="Times New Roman"/>
            <w:i/>
            <w:color w:val="000000" w:themeColor="text1"/>
            <w:u w:val="none"/>
          </w:rPr>
          <w:t>F</w:t>
        </w:r>
        <w:r w:rsidR="001B71BF" w:rsidRPr="00A8652F">
          <w:rPr>
            <w:rStyle w:val="Hyperlink"/>
            <w:rFonts w:ascii="Times New Roman" w:hAnsi="Times New Roman"/>
            <w:i/>
            <w:color w:val="000000" w:themeColor="text1"/>
            <w:u w:val="none"/>
          </w:rPr>
          <w:t>undamental of Convolutional Cod</w:t>
        </w:r>
        <w:r w:rsidR="00790631" w:rsidRPr="00A8652F">
          <w:rPr>
            <w:rStyle w:val="Hyperlink"/>
            <w:rFonts w:ascii="Times New Roman" w:hAnsi="Times New Roman"/>
            <w:i/>
            <w:color w:val="000000" w:themeColor="text1"/>
            <w:u w:val="none"/>
          </w:rPr>
          <w:t xml:space="preserve">ing </w:t>
        </w:r>
        <w:r w:rsidR="00A37016" w:rsidRPr="00A8652F">
          <w:rPr>
            <w:rStyle w:val="Hyperlink"/>
            <w:rFonts w:ascii="Times New Roman" w:hAnsi="Times New Roman"/>
            <w:i/>
            <w:color w:val="000000" w:themeColor="text1"/>
            <w:u w:val="none"/>
          </w:rPr>
          <w:t xml:space="preserve"> </w:t>
        </w:r>
        <w:r w:rsidR="0032545A" w:rsidRPr="00A8652F">
          <w:rPr>
            <w:rStyle w:val="Hyperlink"/>
            <w:rFonts w:ascii="Times New Roman" w:hAnsi="Times New Roman"/>
            <w:color w:val="000000" w:themeColor="text1"/>
            <w:u w:val="none"/>
          </w:rPr>
          <w:t xml:space="preserve">ed Hoyt R F </w:t>
        </w:r>
        <w:r w:rsidR="00A37016" w:rsidRPr="00A8652F">
          <w:rPr>
            <w:rStyle w:val="Hyperlink"/>
            <w:rFonts w:ascii="Times New Roman" w:hAnsi="Times New Roman"/>
            <w:color w:val="000000" w:themeColor="text1"/>
            <w:u w:val="none"/>
          </w:rPr>
          <w:t>(</w:t>
        </w:r>
        <w:r w:rsidR="00F86FA8" w:rsidRPr="00A8652F">
          <w:rPr>
            <w:rStyle w:val="Hyperlink"/>
            <w:rFonts w:ascii="Times New Roman" w:hAnsi="Times New Roman"/>
            <w:color w:val="000000" w:themeColor="text1"/>
            <w:u w:val="none"/>
          </w:rPr>
          <w:t>New York</w:t>
        </w:r>
        <w:r w:rsidR="00A37016" w:rsidRPr="00A8652F">
          <w:rPr>
            <w:rStyle w:val="Hyperlink"/>
            <w:rFonts w:ascii="Times New Roman" w:hAnsi="Times New Roman"/>
            <w:color w:val="000000" w:themeColor="text1"/>
            <w:u w:val="none"/>
          </w:rPr>
          <w:t xml:space="preserve">: </w:t>
        </w:r>
        <w:r w:rsidR="00F86FA8" w:rsidRPr="00A8652F">
          <w:rPr>
            <w:rStyle w:val="Hyperlink"/>
            <w:rFonts w:ascii="Times New Roman" w:hAnsi="Times New Roman"/>
            <w:color w:val="000000" w:themeColor="text1"/>
            <w:u w:val="none"/>
          </w:rPr>
          <w:t>The Institute of Electrical and Electronics Engineers, Inc.</w:t>
        </w:r>
        <w:r w:rsidR="00A37016" w:rsidRPr="00A8652F">
          <w:rPr>
            <w:rStyle w:val="Hyperlink"/>
            <w:rFonts w:ascii="Times New Roman" w:hAnsi="Times New Roman"/>
            <w:color w:val="000000" w:themeColor="text1"/>
            <w:u w:val="none"/>
          </w:rPr>
          <w:t xml:space="preserve">) </w:t>
        </w:r>
        <w:r w:rsidR="000C1466" w:rsidRPr="00A8652F">
          <w:rPr>
            <w:rStyle w:val="Hyperlink"/>
            <w:rFonts w:ascii="Times New Roman" w:hAnsi="Times New Roman"/>
            <w:color w:val="000000" w:themeColor="text1"/>
            <w:u w:val="none"/>
          </w:rPr>
          <w:t>chapter 8</w:t>
        </w:r>
        <w:r w:rsidR="00A37016" w:rsidRPr="00A8652F">
          <w:rPr>
            <w:rStyle w:val="Hyperlink"/>
            <w:rFonts w:ascii="Times New Roman" w:hAnsi="Times New Roman"/>
            <w:color w:val="000000" w:themeColor="text1"/>
            <w:u w:val="none"/>
          </w:rPr>
          <w:t xml:space="preserve"> pp </w:t>
        </w:r>
        <w:r w:rsidR="0053709B" w:rsidRPr="00A8652F">
          <w:rPr>
            <w:rStyle w:val="Hyperlink"/>
            <w:rFonts w:ascii="Times New Roman" w:hAnsi="Times New Roman"/>
            <w:color w:val="000000" w:themeColor="text1"/>
            <w:u w:val="none"/>
          </w:rPr>
          <w:t>347</w:t>
        </w:r>
        <w:r w:rsidR="00A37016" w:rsidRPr="00A8652F">
          <w:rPr>
            <w:rStyle w:val="Hyperlink"/>
            <w:rFonts w:ascii="Times New Roman" w:hAnsi="Times New Roman"/>
            <w:color w:val="000000" w:themeColor="text1"/>
            <w:u w:val="none"/>
          </w:rPr>
          <w:t>-</w:t>
        </w:r>
        <w:r w:rsidR="001B71BF" w:rsidRPr="00A8652F">
          <w:rPr>
            <w:rStyle w:val="Hyperlink"/>
            <w:rFonts w:ascii="Times New Roman" w:hAnsi="Times New Roman"/>
            <w:color w:val="000000" w:themeColor="text1"/>
            <w:u w:val="none"/>
          </w:rPr>
          <w:t>3</w:t>
        </w:r>
        <w:r w:rsidR="00A37016" w:rsidRPr="00A8652F">
          <w:rPr>
            <w:rStyle w:val="Hyperlink"/>
            <w:rFonts w:ascii="Times New Roman" w:hAnsi="Times New Roman"/>
            <w:color w:val="000000" w:themeColor="text1"/>
            <w:u w:val="none"/>
          </w:rPr>
          <w:t>70</w:t>
        </w:r>
      </w:hyperlink>
    </w:p>
    <w:p w:rsidR="00A8652F" w:rsidRPr="00A8652F" w:rsidRDefault="00877212" w:rsidP="00A8652F">
      <w:pPr>
        <w:pStyle w:val="Reference"/>
        <w:tabs>
          <w:tab w:val="clear" w:pos="709"/>
          <w:tab w:val="left" w:pos="851"/>
        </w:tabs>
        <w:rPr>
          <w:rStyle w:val="times1"/>
          <w:color w:val="000000" w:themeColor="text1"/>
          <w:sz w:val="22"/>
          <w:szCs w:val="22"/>
        </w:rPr>
      </w:pPr>
      <w:r w:rsidRPr="00A8652F">
        <w:rPr>
          <w:rStyle w:val="times1"/>
          <w:color w:val="000000" w:themeColor="text1"/>
          <w:sz w:val="22"/>
          <w:szCs w:val="22"/>
        </w:rPr>
        <w:t>[19]</w:t>
      </w:r>
      <w:r w:rsidRPr="00A8652F">
        <w:rPr>
          <w:rStyle w:val="times1"/>
          <w:color w:val="000000" w:themeColor="text1"/>
          <w:sz w:val="22"/>
          <w:szCs w:val="22"/>
        </w:rPr>
        <w:tab/>
      </w:r>
      <w:hyperlink r:id="rId39" w:history="1">
        <w:r w:rsidR="006C4CF3" w:rsidRPr="00A8652F">
          <w:rPr>
            <w:rStyle w:val="Hyperlink"/>
            <w:rFonts w:ascii="Times New Roman" w:hAnsi="Times New Roman"/>
            <w:color w:val="000000" w:themeColor="text1"/>
            <w:u w:val="none"/>
          </w:rPr>
          <w:t xml:space="preserve">Laurendeau N M 2005 Nonequilibrium Statistical Thermodynamics: Elementary Kinetic Theory </w:t>
        </w:r>
        <w:r w:rsidR="006C4CF3" w:rsidRPr="00A8652F">
          <w:rPr>
            <w:rStyle w:val="Hyperlink"/>
            <w:rFonts w:ascii="Times New Roman" w:hAnsi="Times New Roman"/>
            <w:i/>
            <w:color w:val="000000" w:themeColor="text1"/>
            <w:u w:val="none"/>
          </w:rPr>
          <w:t>Statistical Thermodynamics</w:t>
        </w:r>
        <w:r w:rsidR="006C4CF3" w:rsidRPr="00A8652F">
          <w:rPr>
            <w:rStyle w:val="Hyperlink"/>
            <w:rFonts w:ascii="Times New Roman" w:hAnsi="Times New Roman"/>
            <w:color w:val="000000" w:themeColor="text1"/>
            <w:u w:val="none"/>
          </w:rPr>
          <w:t xml:space="preserve"> (Cambridge: Cambridge University Press) section 15 pp 289-300</w:t>
        </w:r>
      </w:hyperlink>
    </w:p>
    <w:p w:rsidR="00A8652F" w:rsidRPr="00A8652F" w:rsidRDefault="00A8652F" w:rsidP="00A8652F">
      <w:pPr>
        <w:pStyle w:val="Reference"/>
        <w:tabs>
          <w:tab w:val="clear" w:pos="709"/>
          <w:tab w:val="left" w:pos="851"/>
        </w:tabs>
        <w:rPr>
          <w:rStyle w:val="times1"/>
          <w:color w:val="000000" w:themeColor="text1"/>
          <w:sz w:val="22"/>
          <w:szCs w:val="22"/>
        </w:rPr>
      </w:pPr>
      <w:r w:rsidRPr="00A8652F">
        <w:rPr>
          <w:rStyle w:val="times1"/>
          <w:color w:val="000000" w:themeColor="text1"/>
          <w:sz w:val="22"/>
          <w:szCs w:val="22"/>
        </w:rPr>
        <w:t>[20]</w:t>
      </w:r>
      <w:r w:rsidRPr="00A8652F">
        <w:rPr>
          <w:rStyle w:val="times1"/>
          <w:color w:val="000000" w:themeColor="text1"/>
          <w:sz w:val="22"/>
          <w:szCs w:val="22"/>
        </w:rPr>
        <w:tab/>
      </w:r>
      <w:hyperlink r:id="rId40" w:history="1">
        <w:r w:rsidRPr="00A8652F">
          <w:rPr>
            <w:rStyle w:val="Hyperlink"/>
            <w:rFonts w:ascii="Times New Roman" w:hAnsi="Times New Roman"/>
            <w:color w:val="000000" w:themeColor="text1"/>
            <w:u w:val="none"/>
          </w:rPr>
          <w:t xml:space="preserve">Herdianto H, Santjojo D J D H, and Masruroh 2017 </w:t>
        </w:r>
        <w:r w:rsidRPr="00A8652F">
          <w:rPr>
            <w:rStyle w:val="Hyperlink"/>
            <w:rFonts w:ascii="Times New Roman" w:hAnsi="Times New Roman"/>
            <w:i/>
            <w:color w:val="000000" w:themeColor="text1"/>
            <w:u w:val="none"/>
          </w:rPr>
          <w:t>AIP Conf. Proc.</w:t>
        </w:r>
        <w:r w:rsidRPr="00A8652F">
          <w:rPr>
            <w:rStyle w:val="Hyperlink"/>
            <w:rFonts w:ascii="Times New Roman" w:hAnsi="Times New Roman"/>
            <w:color w:val="000000" w:themeColor="text1"/>
            <w:u w:val="none"/>
          </w:rPr>
          <w:t xml:space="preserve"> </w:t>
        </w:r>
        <w:r w:rsidRPr="00A8652F">
          <w:rPr>
            <w:rStyle w:val="Hyperlink"/>
            <w:rFonts w:ascii="Times New Roman" w:hAnsi="Times New Roman"/>
            <w:b/>
            <w:color w:val="000000" w:themeColor="text1"/>
            <w:u w:val="none"/>
          </w:rPr>
          <w:t>1868</w:t>
        </w:r>
        <w:r w:rsidRPr="00A8652F">
          <w:rPr>
            <w:rStyle w:val="Hyperlink"/>
            <w:rFonts w:ascii="Times New Roman" w:hAnsi="Times New Roman"/>
            <w:color w:val="000000" w:themeColor="text1"/>
            <w:u w:val="none"/>
          </w:rPr>
          <w:t xml:space="preserve"> 060004</w:t>
        </w:r>
      </w:hyperlink>
    </w:p>
    <w:p w:rsidR="00A8652F" w:rsidRPr="00A8652F" w:rsidRDefault="00A8652F" w:rsidP="00A8652F">
      <w:pPr>
        <w:pStyle w:val="Reference"/>
        <w:tabs>
          <w:tab w:val="clear" w:pos="709"/>
          <w:tab w:val="left" w:pos="851"/>
        </w:tabs>
        <w:rPr>
          <w:rFonts w:ascii="Times New Roman" w:hAnsi="Times New Roman"/>
          <w:color w:val="000000" w:themeColor="text1"/>
        </w:rPr>
      </w:pPr>
      <w:r w:rsidRPr="00A8652F">
        <w:rPr>
          <w:rFonts w:ascii="Times New Roman" w:hAnsi="Times New Roman"/>
          <w:color w:val="000000" w:themeColor="text1"/>
        </w:rPr>
        <w:t xml:space="preserve">[21] </w:t>
      </w:r>
      <w:r w:rsidRPr="00A8652F">
        <w:rPr>
          <w:rFonts w:ascii="Times New Roman" w:hAnsi="Times New Roman"/>
          <w:color w:val="000000" w:themeColor="text1"/>
        </w:rPr>
        <w:tab/>
      </w:r>
      <w:hyperlink r:id="rId41" w:history="1">
        <w:r w:rsidRPr="00A8652F">
          <w:rPr>
            <w:rStyle w:val="Hyperlink"/>
            <w:rFonts w:ascii="Times New Roman" w:hAnsi="Times New Roman"/>
            <w:color w:val="000000" w:themeColor="text1"/>
            <w:u w:val="none"/>
          </w:rPr>
          <w:t xml:space="preserve">Herdianto H, Santjojo D J D H, and Masruroh 2017 </w:t>
        </w:r>
        <w:r w:rsidRPr="00A8652F">
          <w:rPr>
            <w:rStyle w:val="Hyperlink"/>
            <w:rFonts w:ascii="Times New Roman" w:hAnsi="Times New Roman"/>
            <w:i/>
            <w:color w:val="000000" w:themeColor="text1"/>
            <w:u w:val="none"/>
          </w:rPr>
          <w:t xml:space="preserve">J. Phys.: Conf. Ser. </w:t>
        </w:r>
        <w:r w:rsidRPr="00A8652F">
          <w:rPr>
            <w:rStyle w:val="Hyperlink"/>
            <w:rFonts w:ascii="Times New Roman" w:hAnsi="Times New Roman"/>
            <w:b/>
            <w:color w:val="000000" w:themeColor="text1"/>
            <w:u w:val="none"/>
          </w:rPr>
          <w:t>909</w:t>
        </w:r>
        <w:r w:rsidRPr="00A8652F">
          <w:rPr>
            <w:rStyle w:val="Hyperlink"/>
            <w:rFonts w:ascii="Times New Roman" w:hAnsi="Times New Roman"/>
            <w:color w:val="000000" w:themeColor="text1"/>
            <w:u w:val="none"/>
          </w:rPr>
          <w:t xml:space="preserve"> 012027</w:t>
        </w:r>
      </w:hyperlink>
    </w:p>
    <w:p w:rsidR="00A8652F" w:rsidRPr="00877212" w:rsidRDefault="00A8652F" w:rsidP="008239B5">
      <w:pPr>
        <w:pStyle w:val="Reference"/>
        <w:tabs>
          <w:tab w:val="clear" w:pos="709"/>
          <w:tab w:val="left" w:pos="851"/>
        </w:tabs>
        <w:rPr>
          <w:rStyle w:val="times1"/>
          <w:color w:val="000000" w:themeColor="text1"/>
          <w:sz w:val="22"/>
          <w:szCs w:val="22"/>
        </w:rPr>
      </w:pPr>
    </w:p>
    <w:sectPr w:rsidR="00A8652F" w:rsidRPr="00877212" w:rsidSect="009A169E">
      <w:headerReference w:type="default" r:id="rId42"/>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33" w:rsidRDefault="001D3F33">
      <w:r>
        <w:separator/>
      </w:r>
    </w:p>
  </w:endnote>
  <w:endnote w:type="continuationSeparator" w:id="0">
    <w:p w:rsidR="001D3F33" w:rsidRDefault="001D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uran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33" w:rsidRPr="00043761" w:rsidRDefault="001D3F33">
      <w:pPr>
        <w:pStyle w:val="Bulleted"/>
        <w:numPr>
          <w:ilvl w:val="0"/>
          <w:numId w:val="0"/>
        </w:numPr>
        <w:rPr>
          <w:rFonts w:ascii="Sabon" w:hAnsi="Sabon"/>
          <w:color w:val="auto"/>
          <w:szCs w:val="20"/>
        </w:rPr>
      </w:pPr>
      <w:r>
        <w:separator/>
      </w:r>
    </w:p>
  </w:footnote>
  <w:footnote w:type="continuationSeparator" w:id="0">
    <w:p w:rsidR="001D3F33" w:rsidRDefault="001D3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9506A330"/>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zNjS3MDMzt7AwMTNX0lEKTi0uzszPAykwrwUALB9BZiwAAAA="/>
  </w:docVars>
  <w:rsids>
    <w:rsidRoot w:val="00A02FAE"/>
    <w:rsid w:val="00007269"/>
    <w:rsid w:val="00010A9D"/>
    <w:rsid w:val="00010DCE"/>
    <w:rsid w:val="00011074"/>
    <w:rsid w:val="0002231E"/>
    <w:rsid w:val="000264F3"/>
    <w:rsid w:val="00027608"/>
    <w:rsid w:val="00030789"/>
    <w:rsid w:val="0003310D"/>
    <w:rsid w:val="00041278"/>
    <w:rsid w:val="00046014"/>
    <w:rsid w:val="00047C3A"/>
    <w:rsid w:val="000508DA"/>
    <w:rsid w:val="00050CC6"/>
    <w:rsid w:val="000573DC"/>
    <w:rsid w:val="00061807"/>
    <w:rsid w:val="000658ED"/>
    <w:rsid w:val="00080046"/>
    <w:rsid w:val="0008113D"/>
    <w:rsid w:val="00081C94"/>
    <w:rsid w:val="0008471B"/>
    <w:rsid w:val="00084845"/>
    <w:rsid w:val="00084F57"/>
    <w:rsid w:val="00086096"/>
    <w:rsid w:val="000966D4"/>
    <w:rsid w:val="000973E0"/>
    <w:rsid w:val="000A0933"/>
    <w:rsid w:val="000A1CDA"/>
    <w:rsid w:val="000A3EF5"/>
    <w:rsid w:val="000A4D90"/>
    <w:rsid w:val="000A67FA"/>
    <w:rsid w:val="000A7090"/>
    <w:rsid w:val="000A79B2"/>
    <w:rsid w:val="000C1466"/>
    <w:rsid w:val="000D20FE"/>
    <w:rsid w:val="000D23FE"/>
    <w:rsid w:val="000F2CE3"/>
    <w:rsid w:val="000F5AF4"/>
    <w:rsid w:val="001017CD"/>
    <w:rsid w:val="0010287C"/>
    <w:rsid w:val="00105F7F"/>
    <w:rsid w:val="001064D8"/>
    <w:rsid w:val="001237A4"/>
    <w:rsid w:val="00125540"/>
    <w:rsid w:val="001339A4"/>
    <w:rsid w:val="00137524"/>
    <w:rsid w:val="00137F58"/>
    <w:rsid w:val="00143701"/>
    <w:rsid w:val="00145864"/>
    <w:rsid w:val="001473DF"/>
    <w:rsid w:val="0015321B"/>
    <w:rsid w:val="001539D6"/>
    <w:rsid w:val="00165E82"/>
    <w:rsid w:val="0017062B"/>
    <w:rsid w:val="00177E09"/>
    <w:rsid w:val="001811EA"/>
    <w:rsid w:val="001A162C"/>
    <w:rsid w:val="001B603A"/>
    <w:rsid w:val="001B71BF"/>
    <w:rsid w:val="001C12AF"/>
    <w:rsid w:val="001C3C91"/>
    <w:rsid w:val="001D1348"/>
    <w:rsid w:val="001D3F33"/>
    <w:rsid w:val="001D536C"/>
    <w:rsid w:val="001F2DBC"/>
    <w:rsid w:val="00210F03"/>
    <w:rsid w:val="002210AB"/>
    <w:rsid w:val="00222B97"/>
    <w:rsid w:val="00224068"/>
    <w:rsid w:val="002244CC"/>
    <w:rsid w:val="00226718"/>
    <w:rsid w:val="00226960"/>
    <w:rsid w:val="00240942"/>
    <w:rsid w:val="0025295E"/>
    <w:rsid w:val="002567D0"/>
    <w:rsid w:val="00257BB4"/>
    <w:rsid w:val="00272FCF"/>
    <w:rsid w:val="00273C63"/>
    <w:rsid w:val="00275C95"/>
    <w:rsid w:val="002800B7"/>
    <w:rsid w:val="0028280C"/>
    <w:rsid w:val="002831DD"/>
    <w:rsid w:val="002A3F1E"/>
    <w:rsid w:val="002A47AA"/>
    <w:rsid w:val="002A703C"/>
    <w:rsid w:val="002C1509"/>
    <w:rsid w:val="002C6CF5"/>
    <w:rsid w:val="002D30AF"/>
    <w:rsid w:val="002D5600"/>
    <w:rsid w:val="002D63FC"/>
    <w:rsid w:val="002E4FD5"/>
    <w:rsid w:val="002E7889"/>
    <w:rsid w:val="002F21EC"/>
    <w:rsid w:val="00312D0E"/>
    <w:rsid w:val="00313E24"/>
    <w:rsid w:val="00317BDB"/>
    <w:rsid w:val="003205A8"/>
    <w:rsid w:val="0032545A"/>
    <w:rsid w:val="00327953"/>
    <w:rsid w:val="00327DDE"/>
    <w:rsid w:val="00331547"/>
    <w:rsid w:val="00333EE2"/>
    <w:rsid w:val="00335153"/>
    <w:rsid w:val="00343B53"/>
    <w:rsid w:val="00345E0B"/>
    <w:rsid w:val="00346164"/>
    <w:rsid w:val="00347FC4"/>
    <w:rsid w:val="0035356A"/>
    <w:rsid w:val="0035689B"/>
    <w:rsid w:val="003603FD"/>
    <w:rsid w:val="003608F8"/>
    <w:rsid w:val="00360A9C"/>
    <w:rsid w:val="00363E90"/>
    <w:rsid w:val="00364FC8"/>
    <w:rsid w:val="003670F6"/>
    <w:rsid w:val="00385F2F"/>
    <w:rsid w:val="003933FA"/>
    <w:rsid w:val="00393640"/>
    <w:rsid w:val="003A03B7"/>
    <w:rsid w:val="003B20BC"/>
    <w:rsid w:val="003B74D9"/>
    <w:rsid w:val="003C1B58"/>
    <w:rsid w:val="003C4CEF"/>
    <w:rsid w:val="003C6F3B"/>
    <w:rsid w:val="003D43B1"/>
    <w:rsid w:val="003D583A"/>
    <w:rsid w:val="003E7BDD"/>
    <w:rsid w:val="003F1BC3"/>
    <w:rsid w:val="003F3F1D"/>
    <w:rsid w:val="003F588A"/>
    <w:rsid w:val="003F5982"/>
    <w:rsid w:val="00400792"/>
    <w:rsid w:val="00403F95"/>
    <w:rsid w:val="004160C6"/>
    <w:rsid w:val="004167A7"/>
    <w:rsid w:val="0042198A"/>
    <w:rsid w:val="00422324"/>
    <w:rsid w:val="004235CB"/>
    <w:rsid w:val="004263C2"/>
    <w:rsid w:val="00426534"/>
    <w:rsid w:val="0044084A"/>
    <w:rsid w:val="0045282B"/>
    <w:rsid w:val="00452C5E"/>
    <w:rsid w:val="00453A10"/>
    <w:rsid w:val="00462D35"/>
    <w:rsid w:val="004640CB"/>
    <w:rsid w:val="00464E56"/>
    <w:rsid w:val="00477201"/>
    <w:rsid w:val="00480A2E"/>
    <w:rsid w:val="00490AC9"/>
    <w:rsid w:val="00493133"/>
    <w:rsid w:val="00495CEB"/>
    <w:rsid w:val="004A14DA"/>
    <w:rsid w:val="004A27AA"/>
    <w:rsid w:val="004A780C"/>
    <w:rsid w:val="004C464F"/>
    <w:rsid w:val="004D088B"/>
    <w:rsid w:val="004D1986"/>
    <w:rsid w:val="004D29A6"/>
    <w:rsid w:val="004E5B6B"/>
    <w:rsid w:val="004F1B53"/>
    <w:rsid w:val="004F42A3"/>
    <w:rsid w:val="004F5E8F"/>
    <w:rsid w:val="00511257"/>
    <w:rsid w:val="0051315D"/>
    <w:rsid w:val="00513D0C"/>
    <w:rsid w:val="0051726F"/>
    <w:rsid w:val="00521A70"/>
    <w:rsid w:val="00523B94"/>
    <w:rsid w:val="00531795"/>
    <w:rsid w:val="00531DD4"/>
    <w:rsid w:val="00532B84"/>
    <w:rsid w:val="005367D4"/>
    <w:rsid w:val="0053709B"/>
    <w:rsid w:val="00552080"/>
    <w:rsid w:val="00564F0C"/>
    <w:rsid w:val="00565ADD"/>
    <w:rsid w:val="00581F5A"/>
    <w:rsid w:val="0058620E"/>
    <w:rsid w:val="00591C26"/>
    <w:rsid w:val="005A09E4"/>
    <w:rsid w:val="005A0D6F"/>
    <w:rsid w:val="005A39B0"/>
    <w:rsid w:val="005A6D09"/>
    <w:rsid w:val="005B4DEC"/>
    <w:rsid w:val="005B68C3"/>
    <w:rsid w:val="005C24F9"/>
    <w:rsid w:val="005C3CFA"/>
    <w:rsid w:val="005C48CD"/>
    <w:rsid w:val="005C7E47"/>
    <w:rsid w:val="005D44C4"/>
    <w:rsid w:val="005D4AB0"/>
    <w:rsid w:val="005D56F4"/>
    <w:rsid w:val="005E1FFB"/>
    <w:rsid w:val="005F007C"/>
    <w:rsid w:val="005F03B4"/>
    <w:rsid w:val="005F0877"/>
    <w:rsid w:val="005F11B1"/>
    <w:rsid w:val="005F23AF"/>
    <w:rsid w:val="005F245D"/>
    <w:rsid w:val="006009DC"/>
    <w:rsid w:val="00601433"/>
    <w:rsid w:val="0060474D"/>
    <w:rsid w:val="006132F3"/>
    <w:rsid w:val="006134E3"/>
    <w:rsid w:val="00620151"/>
    <w:rsid w:val="00645C74"/>
    <w:rsid w:val="00647A04"/>
    <w:rsid w:val="006535C0"/>
    <w:rsid w:val="0065463B"/>
    <w:rsid w:val="0065754F"/>
    <w:rsid w:val="00662FFA"/>
    <w:rsid w:val="006700DB"/>
    <w:rsid w:val="00670FE3"/>
    <w:rsid w:val="00672B08"/>
    <w:rsid w:val="006753A5"/>
    <w:rsid w:val="00687516"/>
    <w:rsid w:val="00687E67"/>
    <w:rsid w:val="00693D10"/>
    <w:rsid w:val="00696E92"/>
    <w:rsid w:val="006A0078"/>
    <w:rsid w:val="006A41C5"/>
    <w:rsid w:val="006B19BC"/>
    <w:rsid w:val="006B5373"/>
    <w:rsid w:val="006C106A"/>
    <w:rsid w:val="006C11EC"/>
    <w:rsid w:val="006C38B6"/>
    <w:rsid w:val="006C4CF3"/>
    <w:rsid w:val="006C7F35"/>
    <w:rsid w:val="006D0534"/>
    <w:rsid w:val="006D7424"/>
    <w:rsid w:val="006D7588"/>
    <w:rsid w:val="006E2E8A"/>
    <w:rsid w:val="006E490A"/>
    <w:rsid w:val="006F0731"/>
    <w:rsid w:val="006F6B45"/>
    <w:rsid w:val="0070065C"/>
    <w:rsid w:val="00704413"/>
    <w:rsid w:val="00712972"/>
    <w:rsid w:val="00715FFF"/>
    <w:rsid w:val="00721922"/>
    <w:rsid w:val="00721C82"/>
    <w:rsid w:val="00724C5A"/>
    <w:rsid w:val="0073233C"/>
    <w:rsid w:val="00732756"/>
    <w:rsid w:val="0073358C"/>
    <w:rsid w:val="0074151F"/>
    <w:rsid w:val="00755CFB"/>
    <w:rsid w:val="007744BA"/>
    <w:rsid w:val="00780E33"/>
    <w:rsid w:val="007830F9"/>
    <w:rsid w:val="00790631"/>
    <w:rsid w:val="00793B91"/>
    <w:rsid w:val="007943E2"/>
    <w:rsid w:val="00797023"/>
    <w:rsid w:val="007A33D3"/>
    <w:rsid w:val="007A59B2"/>
    <w:rsid w:val="007A5ED1"/>
    <w:rsid w:val="007B3058"/>
    <w:rsid w:val="007B51EC"/>
    <w:rsid w:val="007B57CC"/>
    <w:rsid w:val="007B6B7A"/>
    <w:rsid w:val="007C26E9"/>
    <w:rsid w:val="007C536C"/>
    <w:rsid w:val="007C5881"/>
    <w:rsid w:val="007D2B48"/>
    <w:rsid w:val="007E098B"/>
    <w:rsid w:val="007F37BF"/>
    <w:rsid w:val="00803BA6"/>
    <w:rsid w:val="00804CF1"/>
    <w:rsid w:val="00810D30"/>
    <w:rsid w:val="00815D80"/>
    <w:rsid w:val="008164ED"/>
    <w:rsid w:val="00823400"/>
    <w:rsid w:val="008239B5"/>
    <w:rsid w:val="0082404A"/>
    <w:rsid w:val="00835713"/>
    <w:rsid w:val="008415AC"/>
    <w:rsid w:val="00842754"/>
    <w:rsid w:val="00853049"/>
    <w:rsid w:val="00854987"/>
    <w:rsid w:val="00860A4D"/>
    <w:rsid w:val="00863BA6"/>
    <w:rsid w:val="00873304"/>
    <w:rsid w:val="0087364E"/>
    <w:rsid w:val="00877212"/>
    <w:rsid w:val="008A7D61"/>
    <w:rsid w:val="008C223A"/>
    <w:rsid w:val="008D0B19"/>
    <w:rsid w:val="008E1FBD"/>
    <w:rsid w:val="008E20F8"/>
    <w:rsid w:val="008E4840"/>
    <w:rsid w:val="008E5E68"/>
    <w:rsid w:val="00906572"/>
    <w:rsid w:val="009110D3"/>
    <w:rsid w:val="0092556F"/>
    <w:rsid w:val="00935719"/>
    <w:rsid w:val="009406AF"/>
    <w:rsid w:val="0094487D"/>
    <w:rsid w:val="009460B5"/>
    <w:rsid w:val="00947262"/>
    <w:rsid w:val="009638EB"/>
    <w:rsid w:val="009674D4"/>
    <w:rsid w:val="00973A41"/>
    <w:rsid w:val="0097745A"/>
    <w:rsid w:val="009775DD"/>
    <w:rsid w:val="00983A35"/>
    <w:rsid w:val="00983FC7"/>
    <w:rsid w:val="0098524A"/>
    <w:rsid w:val="0098649E"/>
    <w:rsid w:val="00990693"/>
    <w:rsid w:val="009911F8"/>
    <w:rsid w:val="0099183B"/>
    <w:rsid w:val="00991E19"/>
    <w:rsid w:val="00994FCE"/>
    <w:rsid w:val="00996583"/>
    <w:rsid w:val="00996FC4"/>
    <w:rsid w:val="009A0E2D"/>
    <w:rsid w:val="009A169E"/>
    <w:rsid w:val="009B133A"/>
    <w:rsid w:val="009B2411"/>
    <w:rsid w:val="009C18DC"/>
    <w:rsid w:val="009D354E"/>
    <w:rsid w:val="009E3C39"/>
    <w:rsid w:val="009F4366"/>
    <w:rsid w:val="00A02FAE"/>
    <w:rsid w:val="00A039CA"/>
    <w:rsid w:val="00A07DDF"/>
    <w:rsid w:val="00A2069F"/>
    <w:rsid w:val="00A3108B"/>
    <w:rsid w:val="00A37016"/>
    <w:rsid w:val="00A379C2"/>
    <w:rsid w:val="00A42FDA"/>
    <w:rsid w:val="00A5156C"/>
    <w:rsid w:val="00A51605"/>
    <w:rsid w:val="00A518CC"/>
    <w:rsid w:val="00A618D5"/>
    <w:rsid w:val="00A61E3E"/>
    <w:rsid w:val="00A63F50"/>
    <w:rsid w:val="00A70664"/>
    <w:rsid w:val="00A73502"/>
    <w:rsid w:val="00A74C02"/>
    <w:rsid w:val="00A8652F"/>
    <w:rsid w:val="00A931E0"/>
    <w:rsid w:val="00A938C4"/>
    <w:rsid w:val="00A95390"/>
    <w:rsid w:val="00AA02F1"/>
    <w:rsid w:val="00AA28B6"/>
    <w:rsid w:val="00AA4E98"/>
    <w:rsid w:val="00AA6808"/>
    <w:rsid w:val="00AB7020"/>
    <w:rsid w:val="00AC4273"/>
    <w:rsid w:val="00AD43A3"/>
    <w:rsid w:val="00AD4F7C"/>
    <w:rsid w:val="00AE5B66"/>
    <w:rsid w:val="00AE67B8"/>
    <w:rsid w:val="00AF2F7F"/>
    <w:rsid w:val="00B046D0"/>
    <w:rsid w:val="00B05857"/>
    <w:rsid w:val="00B12A7E"/>
    <w:rsid w:val="00B236E3"/>
    <w:rsid w:val="00B36DBB"/>
    <w:rsid w:val="00B3712C"/>
    <w:rsid w:val="00B52481"/>
    <w:rsid w:val="00B65880"/>
    <w:rsid w:val="00B75E88"/>
    <w:rsid w:val="00B80530"/>
    <w:rsid w:val="00B935BB"/>
    <w:rsid w:val="00B966F5"/>
    <w:rsid w:val="00B969C1"/>
    <w:rsid w:val="00BA4C27"/>
    <w:rsid w:val="00BA5B1F"/>
    <w:rsid w:val="00BA7570"/>
    <w:rsid w:val="00BB17E2"/>
    <w:rsid w:val="00BB56A5"/>
    <w:rsid w:val="00BC1D18"/>
    <w:rsid w:val="00BD7C72"/>
    <w:rsid w:val="00BE0DE1"/>
    <w:rsid w:val="00BF124B"/>
    <w:rsid w:val="00C15138"/>
    <w:rsid w:val="00C15366"/>
    <w:rsid w:val="00C23397"/>
    <w:rsid w:val="00C259B5"/>
    <w:rsid w:val="00C305B6"/>
    <w:rsid w:val="00C30682"/>
    <w:rsid w:val="00C42153"/>
    <w:rsid w:val="00C44E7A"/>
    <w:rsid w:val="00C46532"/>
    <w:rsid w:val="00C47D98"/>
    <w:rsid w:val="00C5371B"/>
    <w:rsid w:val="00C5440A"/>
    <w:rsid w:val="00C56D61"/>
    <w:rsid w:val="00C575FC"/>
    <w:rsid w:val="00C70206"/>
    <w:rsid w:val="00C71988"/>
    <w:rsid w:val="00C83C68"/>
    <w:rsid w:val="00C83CC9"/>
    <w:rsid w:val="00C87BCB"/>
    <w:rsid w:val="00C87BD0"/>
    <w:rsid w:val="00C95AD0"/>
    <w:rsid w:val="00C97EBF"/>
    <w:rsid w:val="00CA2DA3"/>
    <w:rsid w:val="00CC3CDE"/>
    <w:rsid w:val="00CC67D9"/>
    <w:rsid w:val="00CC770C"/>
    <w:rsid w:val="00CE57CF"/>
    <w:rsid w:val="00CF7005"/>
    <w:rsid w:val="00CF7115"/>
    <w:rsid w:val="00D00262"/>
    <w:rsid w:val="00D021EA"/>
    <w:rsid w:val="00D025B9"/>
    <w:rsid w:val="00D06903"/>
    <w:rsid w:val="00D151BB"/>
    <w:rsid w:val="00D17B7E"/>
    <w:rsid w:val="00D21DD8"/>
    <w:rsid w:val="00D2580F"/>
    <w:rsid w:val="00D2652E"/>
    <w:rsid w:val="00D267AB"/>
    <w:rsid w:val="00D30CE7"/>
    <w:rsid w:val="00D334A9"/>
    <w:rsid w:val="00D443FD"/>
    <w:rsid w:val="00D47AB9"/>
    <w:rsid w:val="00D52EB9"/>
    <w:rsid w:val="00D5758D"/>
    <w:rsid w:val="00D76DEC"/>
    <w:rsid w:val="00D81ACB"/>
    <w:rsid w:val="00D85D27"/>
    <w:rsid w:val="00D87904"/>
    <w:rsid w:val="00DB2CFD"/>
    <w:rsid w:val="00DB330D"/>
    <w:rsid w:val="00DB5C63"/>
    <w:rsid w:val="00DC0248"/>
    <w:rsid w:val="00DC0816"/>
    <w:rsid w:val="00DC603C"/>
    <w:rsid w:val="00DC7EE8"/>
    <w:rsid w:val="00DD0B59"/>
    <w:rsid w:val="00DD3FE0"/>
    <w:rsid w:val="00DE3B66"/>
    <w:rsid w:val="00DF219A"/>
    <w:rsid w:val="00DF768D"/>
    <w:rsid w:val="00E000CB"/>
    <w:rsid w:val="00E068FB"/>
    <w:rsid w:val="00E11518"/>
    <w:rsid w:val="00E12785"/>
    <w:rsid w:val="00E15DA6"/>
    <w:rsid w:val="00E24A30"/>
    <w:rsid w:val="00E31545"/>
    <w:rsid w:val="00E33DE1"/>
    <w:rsid w:val="00E41444"/>
    <w:rsid w:val="00E46492"/>
    <w:rsid w:val="00E47134"/>
    <w:rsid w:val="00E50991"/>
    <w:rsid w:val="00E50EA2"/>
    <w:rsid w:val="00E55181"/>
    <w:rsid w:val="00E56EB5"/>
    <w:rsid w:val="00E61140"/>
    <w:rsid w:val="00E6742A"/>
    <w:rsid w:val="00E71828"/>
    <w:rsid w:val="00E73E65"/>
    <w:rsid w:val="00E753FE"/>
    <w:rsid w:val="00E82F7A"/>
    <w:rsid w:val="00E83920"/>
    <w:rsid w:val="00E87069"/>
    <w:rsid w:val="00E91DD1"/>
    <w:rsid w:val="00E94D00"/>
    <w:rsid w:val="00EA2E43"/>
    <w:rsid w:val="00EA3F4B"/>
    <w:rsid w:val="00EB0FDE"/>
    <w:rsid w:val="00EC2318"/>
    <w:rsid w:val="00ED09DE"/>
    <w:rsid w:val="00ED6A62"/>
    <w:rsid w:val="00EE7A5F"/>
    <w:rsid w:val="00F0237D"/>
    <w:rsid w:val="00F028A0"/>
    <w:rsid w:val="00F05A1A"/>
    <w:rsid w:val="00F070B1"/>
    <w:rsid w:val="00F15EE5"/>
    <w:rsid w:val="00F26D45"/>
    <w:rsid w:val="00F30DC0"/>
    <w:rsid w:val="00F32B4A"/>
    <w:rsid w:val="00F36D57"/>
    <w:rsid w:val="00F45D0C"/>
    <w:rsid w:val="00F51669"/>
    <w:rsid w:val="00F51F64"/>
    <w:rsid w:val="00F614E3"/>
    <w:rsid w:val="00F67010"/>
    <w:rsid w:val="00F74308"/>
    <w:rsid w:val="00F75428"/>
    <w:rsid w:val="00F758A3"/>
    <w:rsid w:val="00F77B60"/>
    <w:rsid w:val="00F77DB8"/>
    <w:rsid w:val="00F81BEB"/>
    <w:rsid w:val="00F86FA8"/>
    <w:rsid w:val="00F905B2"/>
    <w:rsid w:val="00F93A39"/>
    <w:rsid w:val="00F97276"/>
    <w:rsid w:val="00FB005F"/>
    <w:rsid w:val="00FB76CA"/>
    <w:rsid w:val="00FD3975"/>
    <w:rsid w:val="00FE6466"/>
    <w:rsid w:val="00FF250E"/>
    <w:rsid w:val="00FF2827"/>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FE8B0"/>
  <w15:docId w15:val="{27FE7B11-0C37-493F-B79C-4976F798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7B3058"/>
    <w:pPr>
      <w:numPr>
        <w:numId w:val="18"/>
      </w:numPr>
      <w:tabs>
        <w:tab w:val="left" w:pos="567"/>
      </w:tabs>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7B3058"/>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character" w:customStyle="1" w:styleId="FootnoteCharacters">
    <w:name w:val="Footnote Characters"/>
    <w:rsid w:val="00947262"/>
    <w:rPr>
      <w:vertAlign w:val="superscript"/>
      <w:lang w:val="es-ES_tradnl"/>
    </w:rPr>
  </w:style>
  <w:style w:type="paragraph" w:customStyle="1" w:styleId="AEuroAbstract">
    <w:name w:val="AEuro.Abstract"/>
    <w:basedOn w:val="Normal"/>
    <w:rsid w:val="00CC67D9"/>
    <w:pPr>
      <w:suppressAutoHyphens/>
      <w:spacing w:before="240"/>
      <w:jc w:val="both"/>
    </w:pPr>
    <w:rPr>
      <w:rFonts w:ascii="Times New Roman" w:eastAsia="Arial"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hyperlink" Target="https://doi.org/10.1016/S0378-4371(99)00395-7" TargetMode="External"/><Relationship Id="rId39" Type="http://schemas.openxmlformats.org/officeDocument/2006/relationships/hyperlink" Target="https://www.worldcat.org/isbn/9780511140624" TargetMode="External"/><Relationship Id="rId3" Type="http://schemas.openxmlformats.org/officeDocument/2006/relationships/settings" Target="settings.xml"/><Relationship Id="rId21" Type="http://schemas.openxmlformats.org/officeDocument/2006/relationships/hyperlink" Target="https://doi.org/10.1016/j.physa.2019.03.094" TargetMode="External"/><Relationship Id="rId34" Type="http://schemas.openxmlformats.org/officeDocument/2006/relationships/hyperlink" Target="https://www.worldcat.org/isbn/9780894590276"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hyperlink" Target="https://doi.org/10.1016/S0304-3932(96)90038-0" TargetMode="External"/><Relationship Id="rId33" Type="http://schemas.openxmlformats.org/officeDocument/2006/relationships/hyperlink" Target="https://www.worldcat.org/issn/22788875" TargetMode="External"/><Relationship Id="rId38" Type="http://schemas.openxmlformats.org/officeDocument/2006/relationships/hyperlink" Target="https://www.worldcat.org/isbn/0780334833"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mifx.com/" TargetMode="External"/><Relationship Id="rId29" Type="http://schemas.openxmlformats.org/officeDocument/2006/relationships/hyperlink" Target="https://www.worldcat.org/isbn/9783540262855" TargetMode="External"/><Relationship Id="rId41" Type="http://schemas.openxmlformats.org/officeDocument/2006/relationships/hyperlink" Target="https://doi.org/10.1088/1742-6596/909/1/012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https://www.worldcat.org/issn/21464138" TargetMode="External"/><Relationship Id="rId32" Type="http://schemas.openxmlformats.org/officeDocument/2006/relationships/hyperlink" Target="https://www.worldcat.org/isbn/9780132930048" TargetMode="External"/><Relationship Id="rId37" Type="http://schemas.openxmlformats.org/officeDocument/2006/relationships/hyperlink" Target="https://doi.org/10.24843/JMAT.2019.v09.i01.p107" TargetMode="External"/><Relationship Id="rId40" Type="http://schemas.openxmlformats.org/officeDocument/2006/relationships/hyperlink" Target="https://doi.org/10.1063/1.4995168"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https://www.worldcat.org/isbn/9789284647910" TargetMode="External"/><Relationship Id="rId28" Type="http://schemas.openxmlformats.org/officeDocument/2006/relationships/hyperlink" Target="https://www.worldcat.org/isbn/9780521620086" TargetMode="External"/><Relationship Id="rId36" Type="http://schemas.openxmlformats.org/officeDocument/2006/relationships/hyperlink" Target="https://www.metaquotes.net/en/metatrader5" TargetMode="External"/><Relationship Id="rId10" Type="http://schemas.openxmlformats.org/officeDocument/2006/relationships/oleObject" Target="embeddings/oleObject1.bin"/><Relationship Id="rId19" Type="http://schemas.openxmlformats.org/officeDocument/2006/relationships/hyperlink" Target="mailto:putri.novianti@mifx.com" TargetMode="External"/><Relationship Id="rId31" Type="http://schemas.openxmlformats.org/officeDocument/2006/relationships/hyperlink" Target="https://doi.org/10.1016/S2212-5671(15)01518-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hyperlink" Target="https://doi.org/10.1016/j.physa.2019.04.132" TargetMode="External"/><Relationship Id="rId27" Type="http://schemas.openxmlformats.org/officeDocument/2006/relationships/hyperlink" Target="https://doi.org/10.1007/s100510070114" TargetMode="External"/><Relationship Id="rId30" Type="http://schemas.openxmlformats.org/officeDocument/2006/relationships/hyperlink" Target="https://doi.org/10.1103/RevModPhys.81.1703" TargetMode="External"/><Relationship Id="rId35" Type="http://schemas.openxmlformats.org/officeDocument/2006/relationships/hyperlink" Target="https://www.metaquotes.net/en/metatrader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mjakfar</cp:lastModifiedBy>
  <cp:revision>2</cp:revision>
  <cp:lastPrinted>2019-07-30T09:39:00Z</cp:lastPrinted>
  <dcterms:created xsi:type="dcterms:W3CDTF">2019-08-22T07:58:00Z</dcterms:created>
  <dcterms:modified xsi:type="dcterms:W3CDTF">2019-08-22T07:58:00Z</dcterms:modified>
</cp:coreProperties>
</file>